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73" w:rsidRDefault="00100B73" w:rsidP="00100B73">
      <w:pPr>
        <w:tabs>
          <w:tab w:val="left" w:pos="8173"/>
        </w:tabs>
        <w:spacing w:before="180"/>
        <w:ind w:right="-142"/>
        <w:rPr>
          <w:rFonts w:cs="Arial"/>
          <w:color w:val="0096BB"/>
        </w:rPr>
      </w:pPr>
      <w:r>
        <w:rPr>
          <w:rFonts w:cs="Arial"/>
          <w:color w:val="0096BB"/>
        </w:rPr>
        <w:t>3b/2014</w:t>
      </w:r>
    </w:p>
    <w:p w:rsidR="00100B73" w:rsidRPr="000944B9" w:rsidRDefault="00100B73" w:rsidP="00100B73">
      <w:pPr>
        <w:tabs>
          <w:tab w:val="left" w:pos="8173"/>
        </w:tabs>
        <w:spacing w:before="180"/>
        <w:ind w:right="-142"/>
        <w:rPr>
          <w:rFonts w:cs="Arial"/>
          <w:color w:val="0096BB"/>
        </w:rPr>
      </w:pPr>
    </w:p>
    <w:tbl>
      <w:tblPr>
        <w:tblW w:w="9659" w:type="dxa"/>
        <w:tblCellMar>
          <w:left w:w="0" w:type="dxa"/>
          <w:right w:w="0" w:type="dxa"/>
        </w:tblCellMar>
        <w:tblLook w:val="04A0"/>
      </w:tblPr>
      <w:tblGrid>
        <w:gridCol w:w="4404"/>
        <w:gridCol w:w="5255"/>
      </w:tblGrid>
      <w:tr w:rsidR="00100B73" w:rsidRPr="009D28A8" w:rsidTr="009D0EAD">
        <w:trPr>
          <w:trHeight w:val="1746"/>
        </w:trPr>
        <w:tc>
          <w:tcPr>
            <w:tcW w:w="9659" w:type="dxa"/>
            <w:gridSpan w:val="2"/>
            <w:tcBorders>
              <w:bottom w:val="single" w:sz="4" w:space="0" w:color="0096BB"/>
            </w:tcBorders>
            <w:shd w:val="clear" w:color="auto" w:fill="auto"/>
            <w:tcMar>
              <w:top w:w="198" w:type="dxa"/>
              <w:bottom w:w="544" w:type="dxa"/>
            </w:tcMar>
          </w:tcPr>
          <w:p w:rsidR="00100B73" w:rsidRDefault="00100B73" w:rsidP="009D0EAD">
            <w:pPr>
              <w:rPr>
                <w:rFonts w:eastAsia="MS Mincho" w:cs="Arial"/>
                <w:b/>
                <w:color w:val="0096BB"/>
                <w:spacing w:val="5"/>
                <w:kern w:val="28"/>
                <w:sz w:val="72"/>
                <w:szCs w:val="52"/>
              </w:rPr>
            </w:pPr>
            <w:r w:rsidRPr="003810D1">
              <w:rPr>
                <w:rFonts w:eastAsia="MS Mincho" w:cs="Arial"/>
                <w:b/>
                <w:color w:val="0096BB"/>
                <w:spacing w:val="5"/>
                <w:kern w:val="28"/>
                <w:sz w:val="72"/>
                <w:szCs w:val="52"/>
              </w:rPr>
              <w:t xml:space="preserve">IÖB-Tool </w:t>
            </w:r>
            <w:r>
              <w:rPr>
                <w:rFonts w:eastAsia="MS Mincho" w:cs="Arial"/>
                <w:b/>
                <w:color w:val="0096BB"/>
                <w:spacing w:val="5"/>
                <w:kern w:val="28"/>
                <w:sz w:val="72"/>
                <w:szCs w:val="52"/>
              </w:rPr>
              <w:t>– Modul A2 /</w:t>
            </w:r>
          </w:p>
          <w:p w:rsidR="00100B73" w:rsidRPr="009D28A8" w:rsidRDefault="00100B73" w:rsidP="009D0EAD">
            <w:r>
              <w:rPr>
                <w:rFonts w:eastAsia="MS Mincho" w:cs="Arial"/>
                <w:b/>
                <w:color w:val="0096BB"/>
                <w:spacing w:val="5"/>
                <w:kern w:val="28"/>
                <w:sz w:val="72"/>
                <w:szCs w:val="52"/>
              </w:rPr>
              <w:t xml:space="preserve">Innovationskriterien </w:t>
            </w:r>
            <w:proofErr w:type="spellStart"/>
            <w:r>
              <w:rPr>
                <w:rFonts w:eastAsia="MS Mincho" w:cs="Arial"/>
                <w:b/>
                <w:color w:val="0096BB"/>
                <w:spacing w:val="5"/>
                <w:kern w:val="28"/>
                <w:sz w:val="72"/>
                <w:szCs w:val="52"/>
              </w:rPr>
              <w:t>N.Check</w:t>
            </w:r>
            <w:proofErr w:type="spellEnd"/>
            <w:r>
              <w:rPr>
                <w:rFonts w:eastAsia="MS Mincho" w:cs="Arial"/>
                <w:b/>
                <w:color w:val="0096BB"/>
                <w:spacing w:val="5"/>
                <w:kern w:val="28"/>
                <w:sz w:val="72"/>
                <w:szCs w:val="52"/>
              </w:rPr>
              <w:t>-Einkauf</w:t>
            </w:r>
          </w:p>
        </w:tc>
      </w:tr>
      <w:tr w:rsidR="00100B73" w:rsidRPr="009D28A8" w:rsidTr="009D0EAD">
        <w:trPr>
          <w:trHeight w:val="1701"/>
        </w:trPr>
        <w:tc>
          <w:tcPr>
            <w:tcW w:w="4404" w:type="dxa"/>
            <w:tcBorders>
              <w:top w:val="single" w:sz="4" w:space="0" w:color="0096BB"/>
            </w:tcBorders>
            <w:shd w:val="clear" w:color="auto" w:fill="auto"/>
            <w:tcMar>
              <w:top w:w="284" w:type="dxa"/>
            </w:tcMar>
          </w:tcPr>
          <w:p w:rsidR="00100B73" w:rsidRDefault="00100B73" w:rsidP="009D0EAD">
            <w:pPr>
              <w:rPr>
                <w:rFonts w:eastAsia="MS Mincho" w:cs="Arial"/>
                <w:iCs/>
                <w:color w:val="0096BB"/>
                <w:sz w:val="32"/>
                <w:szCs w:val="24"/>
              </w:rPr>
            </w:pPr>
            <w:r w:rsidRPr="009A323A">
              <w:rPr>
                <w:rFonts w:eastAsia="MS Mincho" w:cs="Arial"/>
                <w:iCs/>
                <w:color w:val="0096BB"/>
                <w:sz w:val="32"/>
                <w:szCs w:val="24"/>
              </w:rPr>
              <w:t xml:space="preserve">Ausschreibungskriterien für </w:t>
            </w:r>
          </w:p>
          <w:p w:rsidR="00100B73" w:rsidRDefault="00100B73" w:rsidP="009D0EAD">
            <w:pPr>
              <w:rPr>
                <w:rFonts w:eastAsia="MS Mincho" w:cs="Arial"/>
                <w:iCs/>
                <w:color w:val="0096BB"/>
                <w:sz w:val="32"/>
                <w:szCs w:val="24"/>
              </w:rPr>
            </w:pPr>
            <w:r w:rsidRPr="009A323A">
              <w:rPr>
                <w:rFonts w:eastAsia="MS Mincho" w:cs="Arial"/>
                <w:iCs/>
                <w:color w:val="0096BB"/>
                <w:sz w:val="32"/>
                <w:szCs w:val="24"/>
              </w:rPr>
              <w:t>die innovationsfördernde ö</w:t>
            </w:r>
            <w:r w:rsidRPr="009A323A">
              <w:rPr>
                <w:rFonts w:eastAsia="MS Mincho" w:cs="Arial"/>
                <w:iCs/>
                <w:color w:val="0096BB"/>
                <w:sz w:val="32"/>
                <w:szCs w:val="24"/>
              </w:rPr>
              <w:t>f</w:t>
            </w:r>
            <w:r w:rsidRPr="009A323A">
              <w:rPr>
                <w:rFonts w:eastAsia="MS Mincho" w:cs="Arial"/>
                <w:iCs/>
                <w:color w:val="0096BB"/>
                <w:sz w:val="32"/>
                <w:szCs w:val="24"/>
              </w:rPr>
              <w:t xml:space="preserve">fentliche Beschaffung </w:t>
            </w:r>
          </w:p>
          <w:p w:rsidR="00100B73" w:rsidRPr="00F15245" w:rsidRDefault="00100B73" w:rsidP="009D0EAD">
            <w:r w:rsidRPr="009A323A">
              <w:rPr>
                <w:rFonts w:eastAsia="MS Mincho" w:cs="Arial"/>
                <w:iCs/>
                <w:color w:val="0096BB"/>
                <w:sz w:val="32"/>
                <w:szCs w:val="24"/>
              </w:rPr>
              <w:t>(IÖB)</w:t>
            </w:r>
          </w:p>
        </w:tc>
        <w:tc>
          <w:tcPr>
            <w:tcW w:w="5255" w:type="dxa"/>
            <w:tcBorders>
              <w:top w:val="single" w:sz="4" w:space="0" w:color="0096BB"/>
            </w:tcBorders>
            <w:shd w:val="clear" w:color="auto" w:fill="auto"/>
            <w:tcMar>
              <w:top w:w="284" w:type="dxa"/>
            </w:tcMar>
          </w:tcPr>
          <w:p w:rsidR="00100B73" w:rsidRDefault="00100B73" w:rsidP="009D0EAD">
            <w:pPr>
              <w:rPr>
                <w:rFonts w:eastAsia="MS Mincho" w:cs="Arial"/>
                <w:iCs/>
                <w:color w:val="0096BB"/>
                <w:sz w:val="32"/>
                <w:szCs w:val="24"/>
              </w:rPr>
            </w:pPr>
            <w:r>
              <w:rPr>
                <w:rFonts w:eastAsia="MS Mincho" w:cs="Arial"/>
                <w:iCs/>
                <w:color w:val="0096BB"/>
                <w:sz w:val="32"/>
                <w:szCs w:val="24"/>
              </w:rPr>
              <w:t>S. Supper</w:t>
            </w:r>
          </w:p>
          <w:p w:rsidR="00100B73" w:rsidRDefault="00100B73" w:rsidP="009D0EAD">
            <w:pPr>
              <w:rPr>
                <w:rFonts w:eastAsia="MS Mincho" w:cs="Arial"/>
                <w:iCs/>
                <w:color w:val="0096BB"/>
                <w:sz w:val="32"/>
                <w:szCs w:val="24"/>
              </w:rPr>
            </w:pPr>
            <w:r>
              <w:rPr>
                <w:rFonts w:eastAsia="MS Mincho" w:cs="Arial"/>
                <w:iCs/>
                <w:color w:val="0096BB"/>
                <w:sz w:val="32"/>
                <w:szCs w:val="24"/>
              </w:rPr>
              <w:t>T. Steffl</w:t>
            </w:r>
          </w:p>
          <w:p w:rsidR="00100B73" w:rsidRPr="006705C4" w:rsidRDefault="00100B73" w:rsidP="009D0EAD">
            <w:pPr>
              <w:rPr>
                <w:rFonts w:eastAsia="MS Mincho" w:cs="Arial"/>
                <w:iCs/>
                <w:color w:val="0096BB"/>
                <w:sz w:val="32"/>
                <w:szCs w:val="24"/>
              </w:rPr>
            </w:pPr>
            <w:r>
              <w:rPr>
                <w:rFonts w:eastAsia="MS Mincho" w:cs="Arial"/>
                <w:iCs/>
                <w:color w:val="0096BB"/>
                <w:sz w:val="32"/>
                <w:szCs w:val="24"/>
              </w:rPr>
              <w:t>U. Bodisch</w:t>
            </w: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r w:rsidRPr="006705C4">
              <w:rPr>
                <w:rFonts w:cs="Arial"/>
                <w:color w:val="0096BB"/>
              </w:rPr>
              <w:t>Berichte aus Energie- und Umweltforschung</w:t>
            </w:r>
          </w:p>
          <w:p w:rsidR="00100B73" w:rsidRPr="006705C4" w:rsidRDefault="00100B73" w:rsidP="009D0EAD">
            <w:pPr>
              <w:rPr>
                <w:rFonts w:cs="Arial"/>
                <w:color w:val="0096BB"/>
              </w:rPr>
            </w:pPr>
          </w:p>
          <w:p w:rsidR="00100B73" w:rsidRPr="006705C4" w:rsidRDefault="00100B73" w:rsidP="009D0EAD">
            <w:pPr>
              <w:rPr>
                <w:rFonts w:cs="Arial"/>
                <w:b/>
                <w:color w:val="0096BB"/>
                <w:sz w:val="72"/>
                <w:szCs w:val="72"/>
              </w:rPr>
            </w:pPr>
            <w:r>
              <w:rPr>
                <w:rFonts w:cs="Arial"/>
                <w:b/>
                <w:color w:val="0096BB"/>
                <w:sz w:val="72"/>
                <w:szCs w:val="72"/>
              </w:rPr>
              <w:t>3b</w:t>
            </w:r>
            <w:r w:rsidRPr="006705C4">
              <w:rPr>
                <w:rFonts w:cs="Arial"/>
                <w:b/>
                <w:color w:val="0096BB"/>
                <w:sz w:val="72"/>
                <w:szCs w:val="72"/>
              </w:rPr>
              <w:t>/201</w:t>
            </w:r>
            <w:r>
              <w:rPr>
                <w:rFonts w:cs="Arial"/>
                <w:b/>
                <w:color w:val="0096BB"/>
                <w:sz w:val="72"/>
                <w:szCs w:val="72"/>
              </w:rPr>
              <w:t>4</w:t>
            </w:r>
          </w:p>
        </w:tc>
      </w:tr>
    </w:tbl>
    <w:p w:rsidR="00100B73" w:rsidRPr="009D28A8" w:rsidRDefault="00100B73" w:rsidP="00100B73">
      <w:pPr>
        <w:pStyle w:val="blank"/>
        <w:rPr>
          <w:color w:val="0096BB"/>
          <w:lang w:val="de-DE"/>
        </w:rPr>
      </w:pPr>
    </w:p>
    <w:p w:rsidR="00100B73" w:rsidRPr="00100B73" w:rsidRDefault="00100B73" w:rsidP="00D00244">
      <w:pPr>
        <w:rPr>
          <w:b/>
          <w:lang w:val="de-DE"/>
        </w:rPr>
        <w:sectPr w:rsidR="00100B73" w:rsidRPr="00100B73" w:rsidSect="00F65E8F">
          <w:headerReference w:type="default" r:id="rId8"/>
          <w:footerReference w:type="default" r:id="rId9"/>
          <w:pgSz w:w="11907" w:h="16840" w:code="9"/>
          <w:pgMar w:top="1060" w:right="1134" w:bottom="1474" w:left="1134" w:header="567" w:footer="454" w:gutter="0"/>
          <w:cols w:space="720"/>
        </w:sect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r>
        <w:rPr>
          <w:b/>
        </w:rPr>
        <w:t>Impressum:</w:t>
      </w:r>
    </w:p>
    <w:p w:rsidR="00D00244" w:rsidRDefault="00D00244" w:rsidP="00D00244">
      <w:pPr>
        <w:rPr>
          <w:sz w:val="20"/>
        </w:rPr>
      </w:pPr>
    </w:p>
    <w:p w:rsidR="00D00244" w:rsidRPr="00D00244" w:rsidRDefault="00D00244" w:rsidP="00D00244">
      <w:r w:rsidRPr="00D00244">
        <w:t>Eigentümer, Herausgeber und Medieninhaber:</w:t>
      </w:r>
    </w:p>
    <w:p w:rsidR="00D00244" w:rsidRPr="00D00244" w:rsidRDefault="00D00244" w:rsidP="00D00244">
      <w:r w:rsidRPr="00D00244">
        <w:t>Bundesministerium für Verkehr, Innovation und Technologie</w:t>
      </w:r>
    </w:p>
    <w:p w:rsidR="00D00244" w:rsidRPr="00D00244" w:rsidRDefault="00D00244" w:rsidP="00D00244">
      <w:proofErr w:type="spellStart"/>
      <w:r w:rsidRPr="00D00244">
        <w:t>Radetzkystraße</w:t>
      </w:r>
      <w:proofErr w:type="spellEnd"/>
      <w:r w:rsidRPr="00D00244">
        <w:t xml:space="preserve"> 2, 1030 Wien</w:t>
      </w:r>
    </w:p>
    <w:p w:rsidR="00D00244" w:rsidRPr="00D00244" w:rsidRDefault="00D00244" w:rsidP="00D00244"/>
    <w:p w:rsidR="00D00244" w:rsidRPr="00D00244" w:rsidRDefault="00D00244" w:rsidP="00D00244">
      <w:r w:rsidRPr="00D00244">
        <w:t>Verantwortung und Koordination:</w:t>
      </w:r>
    </w:p>
    <w:p w:rsidR="00D00244" w:rsidRPr="00D00244" w:rsidRDefault="00D00244" w:rsidP="00D00244">
      <w:r w:rsidRPr="00D00244">
        <w:t>Abteilung für Energie- und Umwelttechnologien</w:t>
      </w:r>
    </w:p>
    <w:p w:rsidR="00D00244" w:rsidRPr="00D00244" w:rsidRDefault="00D00244" w:rsidP="00D00244">
      <w:pPr>
        <w:rPr>
          <w:lang w:val="it-IT"/>
        </w:rPr>
      </w:pPr>
      <w:proofErr w:type="spellStart"/>
      <w:r w:rsidRPr="00D00244">
        <w:rPr>
          <w:lang w:val="it-IT"/>
        </w:rPr>
        <w:t>Leiter</w:t>
      </w:r>
      <w:proofErr w:type="spellEnd"/>
      <w:r w:rsidRPr="00D00244">
        <w:rPr>
          <w:lang w:val="it-IT"/>
        </w:rPr>
        <w:t xml:space="preserve">: </w:t>
      </w:r>
      <w:proofErr w:type="spellStart"/>
      <w:r w:rsidRPr="00D00244">
        <w:rPr>
          <w:lang w:val="it-IT"/>
        </w:rPr>
        <w:t>DI</w:t>
      </w:r>
      <w:proofErr w:type="spellEnd"/>
      <w:r w:rsidRPr="00D00244">
        <w:rPr>
          <w:lang w:val="it-IT"/>
        </w:rPr>
        <w:t xml:space="preserve"> Michael Paula</w:t>
      </w:r>
    </w:p>
    <w:p w:rsidR="00D00244" w:rsidRPr="00D00244" w:rsidRDefault="00D00244" w:rsidP="00D00244">
      <w:pPr>
        <w:rPr>
          <w:lang w:val="it-IT"/>
        </w:rPr>
      </w:pPr>
    </w:p>
    <w:p w:rsidR="00D00244" w:rsidRPr="00D00244" w:rsidRDefault="00D00244" w:rsidP="00D00244"/>
    <w:p w:rsidR="00D00244" w:rsidRPr="00D00244" w:rsidRDefault="00157962" w:rsidP="00D00244">
      <w:pPr>
        <w:rPr>
          <w:lang w:val="en-US"/>
        </w:rPr>
      </w:pPr>
      <w:hyperlink r:id="rId10" w:history="1">
        <w:r w:rsidR="00D00244" w:rsidRPr="00D00244">
          <w:rPr>
            <w:rStyle w:val="Hyperlink"/>
            <w:lang w:val="en-US"/>
          </w:rPr>
          <w:t>www.NachhaltigWirtschaften.at</w:t>
        </w:r>
      </w:hyperlink>
    </w:p>
    <w:p w:rsidR="00D00244" w:rsidRPr="000520E2" w:rsidRDefault="00D00244" w:rsidP="00D00244">
      <w:pPr>
        <w:rPr>
          <w:sz w:val="20"/>
          <w:lang w:val="en-US"/>
        </w:rPr>
        <w:sectPr w:rsidR="00D00244" w:rsidRPr="000520E2" w:rsidSect="000520E2">
          <w:headerReference w:type="default" r:id="rId11"/>
          <w:footerReference w:type="default" r:id="rId12"/>
          <w:pgSz w:w="11907" w:h="16840" w:code="9"/>
          <w:pgMar w:top="2665" w:right="2211" w:bottom="3119" w:left="1361" w:header="0" w:footer="1361" w:gutter="0"/>
          <w:cols w:space="720"/>
        </w:sectPr>
      </w:pPr>
    </w:p>
    <w:p w:rsidR="00D00244" w:rsidRPr="000520E2" w:rsidRDefault="00D00244" w:rsidP="00D00244">
      <w:pPr>
        <w:rPr>
          <w:sz w:val="20"/>
          <w:lang w:val="en-US"/>
        </w:rPr>
      </w:pPr>
    </w:p>
    <w:p w:rsidR="00D00244" w:rsidRPr="000520E2" w:rsidRDefault="00D00244" w:rsidP="00D00244">
      <w:pPr>
        <w:spacing w:line="720" w:lineRule="exact"/>
        <w:jc w:val="right"/>
        <w:rPr>
          <w:sz w:val="48"/>
          <w:lang w:val="en-US"/>
        </w:rPr>
      </w:pPr>
    </w:p>
    <w:p w:rsidR="00D00244" w:rsidRPr="000520E2" w:rsidRDefault="00D00244" w:rsidP="00D00244">
      <w:pPr>
        <w:spacing w:line="720" w:lineRule="exact"/>
        <w:jc w:val="right"/>
        <w:rPr>
          <w:sz w:val="48"/>
          <w:lang w:val="en-US"/>
        </w:rPr>
      </w:pPr>
    </w:p>
    <w:p w:rsidR="00D00244" w:rsidRPr="000520E2" w:rsidRDefault="00D00244" w:rsidP="00D00244">
      <w:pPr>
        <w:spacing w:line="720" w:lineRule="exact"/>
        <w:jc w:val="right"/>
        <w:rPr>
          <w:sz w:val="48"/>
          <w:lang w:val="en-US"/>
        </w:rPr>
      </w:pPr>
    </w:p>
    <w:p w:rsidR="00D00244" w:rsidRPr="00D00244" w:rsidRDefault="00D00244" w:rsidP="00D00244">
      <w:pPr>
        <w:spacing w:line="720" w:lineRule="exact"/>
        <w:jc w:val="right"/>
        <w:rPr>
          <w:b/>
          <w:sz w:val="40"/>
          <w:szCs w:val="40"/>
          <w:lang w:val="en-US"/>
        </w:rPr>
      </w:pPr>
      <w:r w:rsidRPr="00D00244">
        <w:rPr>
          <w:b/>
          <w:sz w:val="40"/>
          <w:szCs w:val="40"/>
          <w:lang w:val="en-US"/>
        </w:rPr>
        <w:t xml:space="preserve">IÖB-Tool – </w:t>
      </w:r>
      <w:proofErr w:type="spellStart"/>
      <w:r w:rsidRPr="00D00244">
        <w:rPr>
          <w:b/>
          <w:sz w:val="40"/>
          <w:szCs w:val="40"/>
          <w:lang w:val="en-US"/>
        </w:rPr>
        <w:t>Modul</w:t>
      </w:r>
      <w:proofErr w:type="spellEnd"/>
      <w:r w:rsidRPr="00D00244">
        <w:rPr>
          <w:b/>
          <w:sz w:val="40"/>
          <w:szCs w:val="40"/>
          <w:lang w:val="en-US"/>
        </w:rPr>
        <w:t xml:space="preserve"> A2 /</w:t>
      </w:r>
    </w:p>
    <w:p w:rsidR="00D00244" w:rsidRPr="00D00244" w:rsidRDefault="00D00244" w:rsidP="00D00244">
      <w:pPr>
        <w:spacing w:line="720" w:lineRule="exact"/>
        <w:jc w:val="right"/>
        <w:rPr>
          <w:b/>
          <w:sz w:val="40"/>
          <w:szCs w:val="40"/>
        </w:rPr>
      </w:pPr>
      <w:r w:rsidRPr="00D00244">
        <w:rPr>
          <w:b/>
          <w:sz w:val="40"/>
          <w:szCs w:val="40"/>
        </w:rPr>
        <w:t xml:space="preserve">Innovationskriterien </w:t>
      </w:r>
      <w:proofErr w:type="spellStart"/>
      <w:r w:rsidRPr="00D00244">
        <w:rPr>
          <w:b/>
          <w:sz w:val="40"/>
          <w:szCs w:val="40"/>
        </w:rPr>
        <w:t>N.Check</w:t>
      </w:r>
      <w:proofErr w:type="spellEnd"/>
      <w:r w:rsidRPr="00D00244">
        <w:rPr>
          <w:b/>
          <w:sz w:val="40"/>
          <w:szCs w:val="40"/>
        </w:rPr>
        <w:t>-Einkauf</w:t>
      </w:r>
    </w:p>
    <w:p w:rsidR="00D00244" w:rsidRDefault="00D00244" w:rsidP="00D00244">
      <w:pPr>
        <w:pStyle w:val="berschrift2"/>
        <w:numPr>
          <w:ilvl w:val="0"/>
          <w:numId w:val="0"/>
        </w:numPr>
        <w:ind w:left="850"/>
      </w:pPr>
    </w:p>
    <w:p w:rsidR="00D00244" w:rsidRPr="00D00244" w:rsidRDefault="00D00244" w:rsidP="00D00244">
      <w:pPr>
        <w:spacing w:line="400" w:lineRule="exact"/>
        <w:jc w:val="right"/>
        <w:rPr>
          <w:sz w:val="24"/>
          <w:szCs w:val="24"/>
        </w:rPr>
      </w:pPr>
      <w:r w:rsidRPr="00D00244">
        <w:rPr>
          <w:sz w:val="24"/>
          <w:szCs w:val="24"/>
        </w:rPr>
        <w:t>Ausschreibungskriterien für die innovationsfördernde</w:t>
      </w:r>
      <w:r w:rsidR="00100B73">
        <w:rPr>
          <w:sz w:val="24"/>
          <w:szCs w:val="24"/>
        </w:rPr>
        <w:t xml:space="preserve"> </w:t>
      </w:r>
      <w:r w:rsidRPr="00D00244">
        <w:rPr>
          <w:sz w:val="24"/>
          <w:szCs w:val="24"/>
        </w:rPr>
        <w:t>öffentliche Beschaffung (IÖB)</w:t>
      </w:r>
    </w:p>
    <w:p w:rsidR="00D00244" w:rsidRPr="00D00244" w:rsidRDefault="00D00244" w:rsidP="00D00244">
      <w:pPr>
        <w:spacing w:line="400" w:lineRule="exact"/>
        <w:jc w:val="right"/>
        <w:rPr>
          <w:sz w:val="24"/>
          <w:szCs w:val="24"/>
        </w:rPr>
      </w:pPr>
    </w:p>
    <w:p w:rsidR="00D00244" w:rsidRPr="00D00244" w:rsidRDefault="00D00244" w:rsidP="00D00244">
      <w:pPr>
        <w:spacing w:line="400" w:lineRule="exact"/>
        <w:jc w:val="right"/>
        <w:rPr>
          <w:sz w:val="24"/>
          <w:szCs w:val="24"/>
        </w:rPr>
      </w:pPr>
    </w:p>
    <w:p w:rsidR="00D00244" w:rsidRPr="006C3922" w:rsidRDefault="00D00244" w:rsidP="00D00244">
      <w:pPr>
        <w:spacing w:line="400" w:lineRule="exact"/>
        <w:ind w:left="708"/>
        <w:jc w:val="right"/>
        <w:rPr>
          <w:sz w:val="24"/>
          <w:szCs w:val="24"/>
        </w:rPr>
      </w:pPr>
      <w:proofErr w:type="spellStart"/>
      <w:r w:rsidRPr="006C3922">
        <w:rPr>
          <w:sz w:val="24"/>
          <w:szCs w:val="24"/>
        </w:rPr>
        <w:t>DI</w:t>
      </w:r>
      <w:r w:rsidRPr="006C3922">
        <w:rPr>
          <w:sz w:val="24"/>
          <w:szCs w:val="24"/>
          <w:vertAlign w:val="superscript"/>
        </w:rPr>
        <w:t>in</w:t>
      </w:r>
      <w:proofErr w:type="spellEnd"/>
      <w:r w:rsidRPr="006C3922">
        <w:rPr>
          <w:sz w:val="24"/>
          <w:szCs w:val="24"/>
        </w:rPr>
        <w:t xml:space="preserve"> Susanne Supper </w:t>
      </w:r>
    </w:p>
    <w:p w:rsidR="00D00244" w:rsidRPr="006C3922" w:rsidRDefault="00D00244" w:rsidP="00D00244">
      <w:pPr>
        <w:spacing w:line="400" w:lineRule="exact"/>
        <w:ind w:left="708"/>
        <w:jc w:val="right"/>
        <w:rPr>
          <w:sz w:val="24"/>
          <w:szCs w:val="24"/>
        </w:rPr>
      </w:pPr>
      <w:r w:rsidRPr="006C3922">
        <w:rPr>
          <w:sz w:val="24"/>
          <w:szCs w:val="24"/>
        </w:rPr>
        <w:t xml:space="preserve">Ing. Thomas Steffl, </w:t>
      </w:r>
      <w:proofErr w:type="spellStart"/>
      <w:r w:rsidRPr="006C3922">
        <w:rPr>
          <w:sz w:val="24"/>
          <w:szCs w:val="24"/>
        </w:rPr>
        <w:t>BSc</w:t>
      </w:r>
      <w:proofErr w:type="spellEnd"/>
      <w:r w:rsidRPr="006C3922">
        <w:rPr>
          <w:sz w:val="24"/>
          <w:szCs w:val="24"/>
        </w:rPr>
        <w:t xml:space="preserve">. </w:t>
      </w:r>
    </w:p>
    <w:p w:rsidR="00D00244" w:rsidRPr="00D00244" w:rsidRDefault="00D00244" w:rsidP="00D00244">
      <w:pPr>
        <w:spacing w:line="400" w:lineRule="exact"/>
        <w:ind w:left="708"/>
        <w:jc w:val="right"/>
        <w:rPr>
          <w:sz w:val="24"/>
          <w:szCs w:val="24"/>
        </w:rPr>
      </w:pPr>
      <w:r w:rsidRPr="00D00244">
        <w:rPr>
          <w:sz w:val="24"/>
          <w:szCs w:val="24"/>
        </w:rPr>
        <w:t>Österreichische Gesellschaft für Umwelt und Technik (ÖGUT)</w:t>
      </w:r>
    </w:p>
    <w:p w:rsidR="00D00244" w:rsidRPr="00D00244" w:rsidRDefault="00D00244" w:rsidP="00D00244">
      <w:pPr>
        <w:spacing w:line="400" w:lineRule="exact"/>
        <w:ind w:left="708"/>
        <w:jc w:val="right"/>
        <w:rPr>
          <w:sz w:val="24"/>
          <w:szCs w:val="24"/>
        </w:rPr>
      </w:pPr>
    </w:p>
    <w:p w:rsidR="00D00244" w:rsidRPr="00D00244" w:rsidRDefault="00D00244" w:rsidP="00D00244">
      <w:pPr>
        <w:spacing w:line="400" w:lineRule="exact"/>
        <w:ind w:left="708"/>
        <w:jc w:val="right"/>
        <w:rPr>
          <w:sz w:val="24"/>
          <w:szCs w:val="24"/>
        </w:rPr>
      </w:pPr>
      <w:proofErr w:type="spellStart"/>
      <w:r w:rsidRPr="00D00244">
        <w:rPr>
          <w:sz w:val="24"/>
          <w:szCs w:val="24"/>
        </w:rPr>
        <w:t>DDI</w:t>
      </w:r>
      <w:r w:rsidRPr="00D00244">
        <w:rPr>
          <w:sz w:val="24"/>
          <w:szCs w:val="24"/>
          <w:vertAlign w:val="superscript"/>
        </w:rPr>
        <w:t>in</w:t>
      </w:r>
      <w:proofErr w:type="spellEnd"/>
      <w:r w:rsidRPr="00D00244">
        <w:rPr>
          <w:sz w:val="24"/>
          <w:szCs w:val="24"/>
        </w:rPr>
        <w:t xml:space="preserve"> Ursula Bodisch </w:t>
      </w:r>
    </w:p>
    <w:p w:rsidR="00D00244" w:rsidRPr="00D00244" w:rsidRDefault="00D00244" w:rsidP="00D00244">
      <w:pPr>
        <w:jc w:val="right"/>
        <w:rPr>
          <w:sz w:val="24"/>
          <w:szCs w:val="24"/>
        </w:rPr>
      </w:pPr>
      <w:r w:rsidRPr="00D00244">
        <w:rPr>
          <w:sz w:val="24"/>
          <w:szCs w:val="24"/>
        </w:rPr>
        <w:t>Energie- und Umweltagentur Niederösterreich (eNu)</w:t>
      </w:r>
    </w:p>
    <w:p w:rsidR="00D00244" w:rsidRDefault="00D00244" w:rsidP="00D00244">
      <w:pPr>
        <w:jc w:val="right"/>
      </w:pPr>
    </w:p>
    <w:p w:rsidR="00C467F3" w:rsidRDefault="00C467F3" w:rsidP="00D00244">
      <w:pPr>
        <w:jc w:val="right"/>
      </w:pPr>
    </w:p>
    <w:p w:rsidR="00C467F3" w:rsidRPr="00C467F3" w:rsidRDefault="00C467F3" w:rsidP="00D00244">
      <w:pPr>
        <w:jc w:val="right"/>
      </w:pPr>
    </w:p>
    <w:p w:rsidR="00D00244" w:rsidRPr="00C467F3" w:rsidRDefault="00D00244" w:rsidP="00D00244">
      <w:pPr>
        <w:jc w:val="right"/>
      </w:pPr>
    </w:p>
    <w:p w:rsidR="00C467F3" w:rsidRDefault="00C467F3" w:rsidP="00C467F3">
      <w:pPr>
        <w:jc w:val="right"/>
      </w:pPr>
      <w:r w:rsidRPr="00AD0DF5">
        <w:t>Wien, November 2013</w:t>
      </w: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pStyle w:val="Fuzeile"/>
        <w:ind w:right="0"/>
      </w:pPr>
      <w:r>
        <w:rPr>
          <w:sz w:val="20"/>
        </w:rPr>
        <w:t>Im Auftrag des Bundesministeriums für Verkehr, Innovation und Technologie</w:t>
      </w:r>
    </w:p>
    <w:p w:rsidR="00D00244" w:rsidRDefault="00D00244" w:rsidP="00D42EAE">
      <w:pPr>
        <w:pStyle w:val="berschrift1Einfach"/>
        <w:sectPr w:rsidR="00D00244" w:rsidSect="00F11A36">
          <w:headerReference w:type="default" r:id="rId13"/>
          <w:footerReference w:type="even" r:id="rId14"/>
          <w:footerReference w:type="default" r:id="rId15"/>
          <w:pgSz w:w="11906" w:h="16838" w:code="9"/>
          <w:pgMar w:top="1985" w:right="1021" w:bottom="1701" w:left="1021" w:header="1588" w:footer="567" w:gutter="0"/>
          <w:cols w:space="708"/>
          <w:docGrid w:linePitch="360"/>
        </w:sectPr>
      </w:pPr>
    </w:p>
    <w:p w:rsidR="00DE7B70" w:rsidRDefault="00DF1E2A" w:rsidP="00D42EAE">
      <w:pPr>
        <w:pStyle w:val="berschrift1Einfach"/>
      </w:pPr>
      <w:r>
        <w:lastRenderedPageBreak/>
        <w:t>Anwendungsleitfaden</w:t>
      </w:r>
    </w:p>
    <w:p w:rsidR="00DF1E2A" w:rsidRPr="00DF1E2A" w:rsidRDefault="00DF1E2A" w:rsidP="00D42EAE">
      <w:pPr>
        <w:pStyle w:val="berschrift2"/>
        <w:numPr>
          <w:ilvl w:val="0"/>
          <w:numId w:val="0"/>
        </w:numPr>
      </w:pPr>
      <w:r>
        <w:t>Hintergrund</w:t>
      </w:r>
    </w:p>
    <w:p w:rsidR="00DF1E2A" w:rsidRDefault="00DF1E2A" w:rsidP="00D42EAE">
      <w:r>
        <w:t>Das "Leitkonzept für eine innovationsfördernde öffentliche Beschaffung (IÖB) in Österreich" des Bundesministeriums für Wirtschaft, Familie und Jugend sowie des Bundesministeriums für Verkehr, Innovation und Technologie sieht eine erhöhte Aktivität der öffentlichen Hand in der innovationsfördernden Beschaffung vor. Das Leitkonzept IÖB hat zum Ziel mit den ausgelösten Innovationen zur Lösung von gesellschaftlichen Herausforderungen und zur Stärkung der Wettbewerbsfähi</w:t>
      </w:r>
      <w:r>
        <w:t>g</w:t>
      </w:r>
      <w:r>
        <w:t>keit Österreichs beizutragen. Darüber hinaus gilt es</w:t>
      </w:r>
      <w:r w:rsidR="009B0D1D">
        <w:t>,</w:t>
      </w:r>
      <w:r>
        <w:t xml:space="preserve"> die öffentliche Infrastruktur unter Berücksichtigung zukünftiger Bedür</w:t>
      </w:r>
      <w:r>
        <w:t>f</w:t>
      </w:r>
      <w:r>
        <w:t xml:space="preserve">nisse zu modernisieren und den </w:t>
      </w:r>
      <w:proofErr w:type="spellStart"/>
      <w:r>
        <w:t>BürgerInnen</w:t>
      </w:r>
      <w:proofErr w:type="spellEnd"/>
      <w:r>
        <w:t xml:space="preserve"> ein nachhaltiges, effizientes und effektives Leistungsangebot machen zu können. Durch die Schaffung von Referenzmärkten soll die Nachfrage nach innovativen Gütern und Dienstleistungen stim</w:t>
      </w:r>
      <w:r>
        <w:t>u</w:t>
      </w:r>
      <w:r>
        <w:t>liert werden sowie entsprechende, effektive Beschaffungspraktiken und Strukturen etabliert werden.</w:t>
      </w:r>
    </w:p>
    <w:p w:rsidR="00DF1E2A" w:rsidRDefault="00DF1E2A" w:rsidP="00D42EAE">
      <w:r>
        <w:t>Ein Baustein zur Erreichung dieser Ziele ist, öffentliche Beschaffungsstellen mit dem vorliegenden Ausschreibungskriterien zu unterstützen. Die Aussc</w:t>
      </w:r>
      <w:r w:rsidR="003E11BB">
        <w:t xml:space="preserve">hreibungskriterien fokussieren </w:t>
      </w:r>
      <w:r>
        <w:t>auf die Innovationsbewertung innerhalb der BestbieterInnenfi</w:t>
      </w:r>
      <w:r>
        <w:t>n</w:t>
      </w:r>
      <w:r>
        <w:t>dung.</w:t>
      </w:r>
    </w:p>
    <w:p w:rsidR="00DF1E2A" w:rsidRDefault="00DF1E2A" w:rsidP="00D42EAE">
      <w:pPr>
        <w:pStyle w:val="berschrift2"/>
        <w:numPr>
          <w:ilvl w:val="0"/>
          <w:numId w:val="0"/>
        </w:numPr>
      </w:pPr>
      <w:r>
        <w:t xml:space="preserve">Zielgruppen und </w:t>
      </w:r>
      <w:proofErr w:type="spellStart"/>
      <w:r>
        <w:t>AnwenderInnen</w:t>
      </w:r>
      <w:proofErr w:type="spellEnd"/>
    </w:p>
    <w:p w:rsidR="00AA65C6" w:rsidRDefault="00DF1E2A" w:rsidP="00D42EAE">
      <w:r>
        <w:t>Die</w:t>
      </w:r>
      <w:r w:rsidR="00AA65C6">
        <w:t xml:space="preserve"> </w:t>
      </w:r>
      <w:proofErr w:type="spellStart"/>
      <w:r w:rsidR="00AA65C6">
        <w:t>NutzerInnen</w:t>
      </w:r>
      <w:proofErr w:type="spellEnd"/>
      <w:r w:rsidR="00AA65C6">
        <w:t xml:space="preserve"> des </w:t>
      </w:r>
      <w:proofErr w:type="spellStart"/>
      <w:proofErr w:type="gramStart"/>
      <w:r w:rsidR="00AA65C6">
        <w:t>N.Check</w:t>
      </w:r>
      <w:proofErr w:type="spellEnd"/>
      <w:r w:rsidR="00AA65C6">
        <w:t>-Einkauf</w:t>
      </w:r>
      <w:proofErr w:type="gramEnd"/>
      <w:r w:rsidR="00AA65C6">
        <w:t xml:space="preserve"> können mit den im Folgenden </w:t>
      </w:r>
      <w:r w:rsidR="00AA65C6" w:rsidRPr="00D42EAE">
        <w:t>dargestellten</w:t>
      </w:r>
      <w:r w:rsidR="00AA65C6">
        <w:t xml:space="preserve"> Ausschreibungskriterien innovationsfö</w:t>
      </w:r>
      <w:r w:rsidR="00AA65C6">
        <w:t>r</w:t>
      </w:r>
      <w:r w:rsidR="00AA65C6">
        <w:t xml:space="preserve">dernde Beschaffungsvorgänge tätigen. Der besondere Nutzen für die </w:t>
      </w:r>
      <w:proofErr w:type="spellStart"/>
      <w:r w:rsidR="00AA65C6">
        <w:t>AnwenderInnen</w:t>
      </w:r>
      <w:proofErr w:type="spellEnd"/>
      <w:r w:rsidR="00AA65C6">
        <w:t xml:space="preserve"> besteht darin, dass die Innovation</w:t>
      </w:r>
      <w:r w:rsidR="00AA65C6">
        <w:t>s</w:t>
      </w:r>
      <w:r w:rsidR="00AA65C6">
        <w:t xml:space="preserve">bewertung nachvollziehbar und transparent in den Beschaffungsprozess integriert wird und trotz der komplexen Thematik </w:t>
      </w:r>
      <w:r w:rsidR="003F4092">
        <w:t>ein minimaler</w:t>
      </w:r>
      <w:r w:rsidR="00AA65C6">
        <w:t xml:space="preserve"> Zusatzaufwand anfällt.</w:t>
      </w:r>
      <w:r w:rsidR="003F4092">
        <w:t xml:space="preserve"> </w:t>
      </w:r>
      <w:r w:rsidR="00AA65C6">
        <w:t>Für öffentliche Verwaltungsstellen entsteht somit der Nutzen, dass sie ihre Ziele im Rahmen des Leitkonzept IÖB klarer definieren und leichter überprüfen können, indem die entsprechenden Beschaffung</w:t>
      </w:r>
      <w:r w:rsidR="00AA65C6">
        <w:t>s</w:t>
      </w:r>
      <w:r w:rsidR="00AA65C6">
        <w:t xml:space="preserve">vorgänge im </w:t>
      </w:r>
      <w:proofErr w:type="spellStart"/>
      <w:r w:rsidR="00AA65C6">
        <w:t>N.Check</w:t>
      </w:r>
      <w:proofErr w:type="spellEnd"/>
      <w:r w:rsidR="00AA65C6">
        <w:t>-Einkauf dokumentiert werden.</w:t>
      </w:r>
    </w:p>
    <w:p w:rsidR="00AA65C6" w:rsidRDefault="00AA65C6" w:rsidP="00D42EAE">
      <w:r>
        <w:t xml:space="preserve">Potenziellen </w:t>
      </w:r>
      <w:proofErr w:type="spellStart"/>
      <w:r>
        <w:t>BieterInnen</w:t>
      </w:r>
      <w:proofErr w:type="spellEnd"/>
      <w:r>
        <w:t xml:space="preserve"> wird ein einfacheres Vergabeverfahren angeboten, da zeitintensive Wettbewerbe entfallen und damit auch der Zuschlag schneller erfolgen kann. Darüber hinaus forciert eine erhöhte (öffentliche) Nachfrage nach innov</w:t>
      </w:r>
      <w:r>
        <w:t>a</w:t>
      </w:r>
      <w:r>
        <w:t>tiven Gütern und Dienstleistungen ein entsprechende</w:t>
      </w:r>
      <w:r w:rsidR="009B0D1D">
        <w:t>s</w:t>
      </w:r>
      <w:r>
        <w:t xml:space="preserve"> </w:t>
      </w:r>
      <w:r w:rsidR="009B0D1D">
        <w:t>Angebot</w:t>
      </w:r>
      <w:r>
        <w:t>.</w:t>
      </w:r>
    </w:p>
    <w:p w:rsidR="00AA65C6" w:rsidRDefault="00AA65C6" w:rsidP="00D42EAE">
      <w:r>
        <w:t>Indirekt erwächst der österreichischen Bevölkerung ein Nutzen, indem die öffentliche Verwaltung nachhaltigere, effizientere und effektivere Leistungen anbieten kann.</w:t>
      </w:r>
    </w:p>
    <w:p w:rsidR="00DF1E2A" w:rsidRDefault="00DF1E2A" w:rsidP="00D42EAE">
      <w:pPr>
        <w:pStyle w:val="berschrift2"/>
        <w:numPr>
          <w:ilvl w:val="0"/>
          <w:numId w:val="0"/>
        </w:numPr>
      </w:pPr>
      <w:r>
        <w:t>Anwendung</w:t>
      </w:r>
    </w:p>
    <w:p w:rsidR="00DF1E2A" w:rsidRDefault="003F4092" w:rsidP="00D42EAE">
      <w:r>
        <w:t xml:space="preserve">Die folgenden drei </w:t>
      </w:r>
      <w:r w:rsidR="009B0D1D">
        <w:t>Innovations</w:t>
      </w:r>
      <w:r>
        <w:t xml:space="preserve">kriterien </w:t>
      </w:r>
      <w:r w:rsidR="009B0D1D">
        <w:t>für Ausschreibungen</w:t>
      </w:r>
      <w:r w:rsidR="003E11BB">
        <w:t xml:space="preserve"> </w:t>
      </w:r>
      <w:r w:rsidR="00AE042B">
        <w:t>sind</w:t>
      </w:r>
      <w:r>
        <w:t xml:space="preserve"> zur direkten Anwendung im </w:t>
      </w:r>
      <w:proofErr w:type="spellStart"/>
      <w:r>
        <w:t>N.Check</w:t>
      </w:r>
      <w:proofErr w:type="spellEnd"/>
      <w:r>
        <w:t>-Einkauf entwickelt worden. Hierbei wurden die Systematik und der Aufbau des online-Beschaffungstools berücksichtigt. Die Ausschreibung</w:t>
      </w:r>
      <w:r>
        <w:t>s</w:t>
      </w:r>
      <w:r>
        <w:t>kriterien sind in der Art gestaltet, dass sie sich auf ein sehr breites Spektrum an Beschaffungsgegenständen anwenden lassen. Gegebenenfalls kann somit eine nähere, anlassbezogene Spezifizierung durch die Beschaffungsstelle notwendig sein und ist in vielen Fällen auch ratsam, um zum Beispiel konkrete Zielsetzungen erfüllen zu können. Gerade bei der B</w:t>
      </w:r>
      <w:r>
        <w:t>e</w:t>
      </w:r>
      <w:r>
        <w:t>schaffung von neuartigen Produkten ist es sehr zu empfehlen</w:t>
      </w:r>
      <w:r w:rsidR="007439DF">
        <w:t>,</w:t>
      </w:r>
      <w:r>
        <w:t xml:space="preserve"> vordefinierte Kennzahlen </w:t>
      </w:r>
      <w:r w:rsidR="006B7D8F">
        <w:t>(im Hinblick auf Effizienzanspr</w:t>
      </w:r>
      <w:r w:rsidR="006B7D8F">
        <w:t>ü</w:t>
      </w:r>
      <w:r w:rsidR="006B7D8F">
        <w:t>che, Emissionsbelas</w:t>
      </w:r>
      <w:r w:rsidR="007439DF">
        <w:t>tungen etc.) festzulegen. Diese</w:t>
      </w:r>
      <w:r w:rsidR="006B7D8F">
        <w:t xml:space="preserve"> Kennzahlen sollten spezifisch auf den Beschaffungsgegenstand, die eigene Zielsetzung und die aktuellen Rahmenbedingungen abgestimmt sein und können somit nicht allgemein vordefiniert werden.</w:t>
      </w:r>
    </w:p>
    <w:p w:rsidR="00DE7B70" w:rsidRDefault="00DE7B70" w:rsidP="006C3922">
      <w:r>
        <w:br w:type="page"/>
      </w:r>
    </w:p>
    <w:p w:rsidR="00BA7C92" w:rsidRDefault="00BA7C92" w:rsidP="00D42EAE">
      <w:pPr>
        <w:pStyle w:val="berschrift1"/>
        <w:numPr>
          <w:ilvl w:val="0"/>
          <w:numId w:val="0"/>
        </w:numPr>
      </w:pPr>
      <w:r>
        <w:lastRenderedPageBreak/>
        <w:t>Kriterium 1</w:t>
      </w:r>
    </w:p>
    <w:p w:rsidR="006B7D8F" w:rsidRDefault="006B7D8F" w:rsidP="00D42EAE">
      <w:pPr>
        <w:pStyle w:val="berschrift1"/>
        <w:numPr>
          <w:ilvl w:val="0"/>
          <w:numId w:val="0"/>
        </w:numPr>
      </w:pPr>
      <w:r w:rsidRPr="00BA7C92">
        <w:rPr>
          <w:sz w:val="24"/>
          <w:szCs w:val="24"/>
        </w:rPr>
        <w:t>„Demonstrationsobjekt / Prototyp“</w:t>
      </w:r>
    </w:p>
    <w:tbl>
      <w:tblPr>
        <w:tblW w:w="9791" w:type="dxa"/>
        <w:tblInd w:w="60" w:type="dxa"/>
        <w:tblBorders>
          <w:top w:val="single" w:sz="4" w:space="0" w:color="7B7C7E"/>
          <w:left w:val="single" w:sz="4" w:space="0" w:color="7B7C7E"/>
          <w:bottom w:val="single" w:sz="4" w:space="0" w:color="7B7C7E"/>
          <w:right w:val="single" w:sz="4" w:space="0" w:color="7B7C7E"/>
          <w:insideH w:val="single" w:sz="4" w:space="0" w:color="7B7C7E"/>
          <w:insideV w:val="single" w:sz="4" w:space="0" w:color="7B7C7E"/>
        </w:tblBorders>
        <w:tblCellMar>
          <w:left w:w="70" w:type="dxa"/>
          <w:right w:w="70" w:type="dxa"/>
        </w:tblCellMar>
        <w:tblLook w:val="04A0"/>
      </w:tblPr>
      <w:tblGrid>
        <w:gridCol w:w="2845"/>
        <w:gridCol w:w="6946"/>
      </w:tblGrid>
      <w:tr w:rsidR="00C06104" w:rsidRPr="007F6890" w:rsidTr="00015EBB">
        <w:trPr>
          <w:trHeight w:val="454"/>
        </w:trPr>
        <w:tc>
          <w:tcPr>
            <w:tcW w:w="2845" w:type="dxa"/>
            <w:shd w:val="clear" w:color="auto" w:fill="BFBFBF"/>
            <w:vAlign w:val="center"/>
            <w:hideMark/>
          </w:tcPr>
          <w:p w:rsidR="00C06104" w:rsidRPr="00366B0C" w:rsidRDefault="00C06104" w:rsidP="00D42EAE">
            <w:bookmarkStart w:id="0" w:name="OLE_LINK1"/>
            <w:r w:rsidRPr="00366B0C">
              <w:t>Bezeichnung</w:t>
            </w:r>
          </w:p>
        </w:tc>
        <w:tc>
          <w:tcPr>
            <w:tcW w:w="6946" w:type="dxa"/>
            <w:shd w:val="clear" w:color="auto" w:fill="auto"/>
            <w:vAlign w:val="center"/>
            <w:hideMark/>
          </w:tcPr>
          <w:p w:rsidR="00C06104" w:rsidRPr="00366B0C" w:rsidRDefault="00C06104" w:rsidP="00D42EAE">
            <w:r w:rsidRPr="00ED0B9C">
              <w:t>Beschaffungsgegenstand ist ein Demonstrationsobjekt bzw. Prototyp</w:t>
            </w:r>
          </w:p>
        </w:tc>
      </w:tr>
      <w:tr w:rsidR="00C06104" w:rsidRPr="007F6890" w:rsidTr="00015EBB">
        <w:trPr>
          <w:trHeight w:val="454"/>
        </w:trPr>
        <w:tc>
          <w:tcPr>
            <w:tcW w:w="2845" w:type="dxa"/>
            <w:shd w:val="clear" w:color="auto" w:fill="BFBFBF"/>
            <w:vAlign w:val="center"/>
            <w:hideMark/>
          </w:tcPr>
          <w:p w:rsidR="00C06104" w:rsidRPr="00366B0C" w:rsidRDefault="00C06104" w:rsidP="00D42EAE">
            <w:r w:rsidRPr="00366B0C">
              <w:t>Quelle</w:t>
            </w:r>
          </w:p>
        </w:tc>
        <w:tc>
          <w:tcPr>
            <w:tcW w:w="6946" w:type="dxa"/>
            <w:shd w:val="clear" w:color="auto" w:fill="auto"/>
            <w:vAlign w:val="center"/>
            <w:hideMark/>
          </w:tcPr>
          <w:p w:rsidR="00C06104" w:rsidRPr="007F6890" w:rsidRDefault="00C06104" w:rsidP="00D42EAE">
            <w:r w:rsidRPr="007F6890">
              <w:t>IÖB-Tool</w:t>
            </w:r>
          </w:p>
        </w:tc>
      </w:tr>
      <w:tr w:rsidR="00C06104" w:rsidRPr="007F6890" w:rsidTr="00015EBB">
        <w:trPr>
          <w:trHeight w:val="454"/>
        </w:trPr>
        <w:tc>
          <w:tcPr>
            <w:tcW w:w="2845" w:type="dxa"/>
            <w:shd w:val="clear" w:color="auto" w:fill="BFBFBF"/>
            <w:vAlign w:val="center"/>
            <w:hideMark/>
          </w:tcPr>
          <w:p w:rsidR="00C06104" w:rsidRPr="00366B0C" w:rsidRDefault="00C06104" w:rsidP="00D42EAE">
            <w:proofErr w:type="spellStart"/>
            <w:r w:rsidRPr="00366B0C">
              <w:t>Kriterienbezug</w:t>
            </w:r>
            <w:proofErr w:type="spellEnd"/>
          </w:p>
        </w:tc>
        <w:tc>
          <w:tcPr>
            <w:tcW w:w="6946" w:type="dxa"/>
            <w:shd w:val="clear" w:color="auto" w:fill="auto"/>
            <w:vAlign w:val="center"/>
            <w:hideMark/>
          </w:tcPr>
          <w:p w:rsidR="00C06104" w:rsidRPr="007F6890" w:rsidRDefault="00C06104" w:rsidP="00D42EAE">
            <w:r w:rsidRPr="007F6890">
              <w:t>Produkt-Kriterien</w:t>
            </w:r>
          </w:p>
        </w:tc>
      </w:tr>
      <w:tr w:rsidR="00C06104" w:rsidRPr="007F6890" w:rsidTr="00015EBB">
        <w:trPr>
          <w:trHeight w:val="454"/>
        </w:trPr>
        <w:tc>
          <w:tcPr>
            <w:tcW w:w="2845" w:type="dxa"/>
            <w:shd w:val="clear" w:color="auto" w:fill="BFBFBF"/>
            <w:vAlign w:val="center"/>
            <w:hideMark/>
          </w:tcPr>
          <w:p w:rsidR="00C06104" w:rsidRPr="00366B0C" w:rsidRDefault="00C06104" w:rsidP="00D42EAE">
            <w:r w:rsidRPr="00366B0C">
              <w:t>Hintergrund</w:t>
            </w:r>
          </w:p>
        </w:tc>
        <w:tc>
          <w:tcPr>
            <w:tcW w:w="6946" w:type="dxa"/>
            <w:shd w:val="clear" w:color="auto" w:fill="auto"/>
            <w:vAlign w:val="center"/>
            <w:hideMark/>
          </w:tcPr>
          <w:p w:rsidR="00C06104" w:rsidRDefault="00C06104" w:rsidP="00D42EAE">
            <w:r w:rsidRPr="007F6890">
              <w:t>Das Leitkonzept für eine innovationsfördernde öffentliche Beschaffung (IÖB) in Ö</w:t>
            </w:r>
            <w:r w:rsidRPr="007F6890">
              <w:t>s</w:t>
            </w:r>
            <w:r w:rsidRPr="007F6890">
              <w:t>terreich sieht vor, dass öffentliche Beschaffungsstellen sich bewusst als erster Markt für neuartige Produkte und Dienstleistungen etablieren. Hierfür ist es ein wesentlicher Schritt, dass öffentliche Beschaffungsstellen auch bewusst neuartige Produkte und Dienstleistungen</w:t>
            </w:r>
            <w:r>
              <w:t xml:space="preserve">, die sich erst in der Phase der Markteinführung befinden bzw. die erst in Form von </w:t>
            </w:r>
            <w:r w:rsidRPr="007F6890">
              <w:t>Demonstrationsobjekte</w:t>
            </w:r>
            <w:r>
              <w:t>n</w:t>
            </w:r>
            <w:r w:rsidRPr="007F6890">
              <w:t xml:space="preserve"> </w:t>
            </w:r>
            <w:r>
              <w:t>oder</w:t>
            </w:r>
            <w:r w:rsidRPr="007F6890">
              <w:t xml:space="preserve"> Prototypen </w:t>
            </w:r>
            <w:r>
              <w:t>vorliegen,</w:t>
            </w:r>
            <w:r w:rsidRPr="007F6890">
              <w:t xml:space="preserve"> beschaffen.</w:t>
            </w:r>
          </w:p>
          <w:p w:rsidR="00BE1FBD" w:rsidRPr="007F6890" w:rsidRDefault="00BE1FBD" w:rsidP="00D42EAE">
            <w:r>
              <w:t>Öffentliche Verwaltungsstellen können durch die Marktüberleitung von Demonstrat</w:t>
            </w:r>
            <w:r>
              <w:t>i</w:t>
            </w:r>
            <w:r>
              <w:t>onsobjekten und Prototypen mit bestem Beispiel für die Bevölkerung und andere Gemeinden vorangehen. Ebenso kann damit ein Zeichen an die Wirtschaft und Fo</w:t>
            </w:r>
            <w:r>
              <w:t>r</w:t>
            </w:r>
            <w:r>
              <w:t>schung gesetzt werden, dass man selbst eine fortschrittliche und aufgeschlossene Gemeinde ist.</w:t>
            </w:r>
          </w:p>
        </w:tc>
      </w:tr>
      <w:tr w:rsidR="00C06104" w:rsidRPr="007F6890" w:rsidTr="00015EBB">
        <w:trPr>
          <w:trHeight w:val="454"/>
        </w:trPr>
        <w:tc>
          <w:tcPr>
            <w:tcW w:w="2845" w:type="dxa"/>
            <w:shd w:val="clear" w:color="auto" w:fill="BFBFBF"/>
            <w:vAlign w:val="center"/>
            <w:hideMark/>
          </w:tcPr>
          <w:p w:rsidR="00C06104" w:rsidRPr="00366B0C" w:rsidRDefault="00C06104" w:rsidP="00D42EAE">
            <w:r w:rsidRPr="00366B0C">
              <w:t>Anwendungshinweise</w:t>
            </w:r>
          </w:p>
        </w:tc>
        <w:tc>
          <w:tcPr>
            <w:tcW w:w="6946" w:type="dxa"/>
            <w:shd w:val="clear" w:color="auto" w:fill="auto"/>
            <w:vAlign w:val="center"/>
            <w:hideMark/>
          </w:tcPr>
          <w:p w:rsidR="00C06104" w:rsidRDefault="00C06104" w:rsidP="00D42EAE">
            <w:r w:rsidRPr="007F6890">
              <w:t>Eine exakte Definition der Begriffe "Demonstrationsobjekt" und "Prototyp" ist in der Praxis oft schwierig. Wesentlich für beide Begriffe ist, dass die Anwendung in der geplanten Nutzungsumgebung stattfindet und Erkenntnisse für eine folgende Serie</w:t>
            </w:r>
            <w:r w:rsidRPr="007F6890">
              <w:t>n</w:t>
            </w:r>
            <w:r w:rsidRPr="007F6890">
              <w:t>fertigung bzw. breitere Vermarktung gewonnen werden.</w:t>
            </w:r>
          </w:p>
          <w:p w:rsidR="00C06104" w:rsidRPr="007F6890" w:rsidRDefault="00C06104" w:rsidP="00D42EAE">
            <w:r>
              <w:t>Ebenfalls wesentlich ist, dass sich der Innovationsgehalt der „Demonstrationsobjekte“ bzw. „Prototypen“ nicht nur auf die Nutzungsphase, sondern auch auf die Herste</w:t>
            </w:r>
            <w:r>
              <w:t>l</w:t>
            </w:r>
            <w:r>
              <w:t>lung, den Transport und/oder die Entsorgung beziehen kann.</w:t>
            </w:r>
          </w:p>
        </w:tc>
      </w:tr>
      <w:tr w:rsidR="00C06104" w:rsidRPr="007F6890" w:rsidTr="00015EBB">
        <w:trPr>
          <w:trHeight w:val="454"/>
        </w:trPr>
        <w:tc>
          <w:tcPr>
            <w:tcW w:w="2845" w:type="dxa"/>
            <w:shd w:val="clear" w:color="auto" w:fill="BFBFBF"/>
            <w:vAlign w:val="center"/>
            <w:hideMark/>
          </w:tcPr>
          <w:p w:rsidR="00C06104" w:rsidRPr="00366B0C" w:rsidRDefault="00C06104" w:rsidP="00D42EAE">
            <w:r w:rsidRPr="00366B0C">
              <w:t>Ausschreibungsvorlagen</w:t>
            </w:r>
          </w:p>
        </w:tc>
        <w:tc>
          <w:tcPr>
            <w:tcW w:w="6946" w:type="dxa"/>
            <w:shd w:val="clear" w:color="auto" w:fill="auto"/>
            <w:vAlign w:val="center"/>
            <w:hideMark/>
          </w:tcPr>
          <w:p w:rsidR="00C06104" w:rsidRPr="007F6890" w:rsidRDefault="00C06104" w:rsidP="00D42EAE">
            <w:r w:rsidRPr="007F6890">
              <w:t xml:space="preserve">Der Beschaffungsgegenstand wurde </w:t>
            </w:r>
            <w:r>
              <w:t>bisher</w:t>
            </w:r>
            <w:r w:rsidRPr="007F6890">
              <w:t xml:space="preserve"> </w:t>
            </w:r>
            <w:r>
              <w:t xml:space="preserve">als Demonstrationsobjekt bzw. Prototyp </w:t>
            </w:r>
            <w:r w:rsidRPr="007F6890">
              <w:t>unt</w:t>
            </w:r>
            <w:r>
              <w:t>er Realbedingungen erprobt, hat aber noch keine kommerzielle Verbreitung erfa</w:t>
            </w:r>
            <w:r>
              <w:t>h</w:t>
            </w:r>
            <w:r>
              <w:t>ren. Die gegenständliche Ausschreibung fungiert somit als erster Markt für das D</w:t>
            </w:r>
            <w:r>
              <w:t>e</w:t>
            </w:r>
            <w:r>
              <w:t>monstrationsobjekt bzw. den Prototypen.</w:t>
            </w:r>
          </w:p>
        </w:tc>
      </w:tr>
      <w:tr w:rsidR="00C06104" w:rsidRPr="007F6890" w:rsidTr="00015EBB">
        <w:trPr>
          <w:trHeight w:val="454"/>
        </w:trPr>
        <w:tc>
          <w:tcPr>
            <w:tcW w:w="2845" w:type="dxa"/>
            <w:shd w:val="clear" w:color="auto" w:fill="BFBFBF"/>
            <w:vAlign w:val="center"/>
            <w:hideMark/>
          </w:tcPr>
          <w:p w:rsidR="00C06104" w:rsidRPr="00366B0C" w:rsidRDefault="00C06104" w:rsidP="00D42EAE">
            <w:r w:rsidRPr="00366B0C">
              <w:t>Nachweis</w:t>
            </w:r>
          </w:p>
        </w:tc>
        <w:tc>
          <w:tcPr>
            <w:tcW w:w="6946" w:type="dxa"/>
            <w:shd w:val="clear" w:color="auto" w:fill="auto"/>
            <w:vAlign w:val="center"/>
            <w:hideMark/>
          </w:tcPr>
          <w:p w:rsidR="00C06104" w:rsidRDefault="00C06104" w:rsidP="00D42EAE">
            <w:r>
              <w:t xml:space="preserve">Der Nachweis zur Überprüfung der </w:t>
            </w:r>
            <w:proofErr w:type="spellStart"/>
            <w:r>
              <w:t>Kriterienerfüllung</w:t>
            </w:r>
            <w:proofErr w:type="spellEnd"/>
            <w:r>
              <w:t xml:space="preserve"> umfasst – je nach tatsächlichem Beschaffungsgegenstand – ein breites Spektrum an Möglichkeiten: Während für Demonstrationsobjekte im Gebäudebereich meist weitreichende Dokumentationen existieren, sind für Maschinen-Prototypen oft nur betriebsinterne Entwicklungsau</w:t>
            </w:r>
            <w:r>
              <w:t>f</w:t>
            </w:r>
            <w:r>
              <w:t xml:space="preserve">zeichnungen vorhanden. Als Minimalanforderung für die Nachweiserbringung sollten die </w:t>
            </w:r>
            <w:proofErr w:type="spellStart"/>
            <w:r>
              <w:t>BieterInnen</w:t>
            </w:r>
            <w:proofErr w:type="spellEnd"/>
            <w:r>
              <w:t xml:space="preserve"> jedenfalls eine kurze Beschreibung liefern, aus der hervorgeht, dass sich der Prototyp bzw. der Beschaffungsgegenstand erst im Stadium eines „D</w:t>
            </w:r>
            <w:r>
              <w:t>e</w:t>
            </w:r>
            <w:r>
              <w:t>monstrationsobjekts“ bzw. „Prototyps“ befin</w:t>
            </w:r>
            <w:r w:rsidR="00BE1FBD">
              <w:t>det und die konkreten Vorteile des B</w:t>
            </w:r>
            <w:r w:rsidR="00BE1FBD">
              <w:t>e</w:t>
            </w:r>
            <w:r w:rsidR="00BE1FBD">
              <w:t>schaffungsgegenstandes gegenüber dem Stand der Technik auflistet.</w:t>
            </w:r>
          </w:p>
          <w:p w:rsidR="00C06104" w:rsidRPr="007F6890" w:rsidRDefault="00C06104" w:rsidP="00D42EAE">
            <w:r>
              <w:t xml:space="preserve">Aufgrund des erhöhten Risikos (technisch wie auch wirtschaftlich), das sich aus den geringen Erfahrungswerten im Zusammenhang mit Demonstrationsobjekten und Prototypen ergibt, sollte von dem/der </w:t>
            </w:r>
            <w:proofErr w:type="spellStart"/>
            <w:r>
              <w:t>BieterIn</w:t>
            </w:r>
            <w:proofErr w:type="spellEnd"/>
            <w:r>
              <w:t xml:space="preserve"> zusätzlich eine Risikoanalyse mit d</w:t>
            </w:r>
            <w:r>
              <w:t>a</w:t>
            </w:r>
            <w:r>
              <w:t>zugehörigem Maßnahmenkatalog eingefordert werden.</w:t>
            </w:r>
          </w:p>
        </w:tc>
      </w:tr>
      <w:tr w:rsidR="00C06104" w:rsidRPr="007F6890" w:rsidTr="00015EBB">
        <w:trPr>
          <w:trHeight w:val="454"/>
        </w:trPr>
        <w:tc>
          <w:tcPr>
            <w:tcW w:w="2845" w:type="dxa"/>
            <w:shd w:val="clear" w:color="auto" w:fill="BFBFBF"/>
            <w:vAlign w:val="center"/>
            <w:hideMark/>
          </w:tcPr>
          <w:p w:rsidR="00C06104" w:rsidRPr="00366B0C" w:rsidRDefault="00C06104" w:rsidP="00D42EAE">
            <w:proofErr w:type="spellStart"/>
            <w:r w:rsidRPr="00366B0C">
              <w:t>Kriterienart</w:t>
            </w:r>
            <w:proofErr w:type="spellEnd"/>
          </w:p>
        </w:tc>
        <w:tc>
          <w:tcPr>
            <w:tcW w:w="6946" w:type="dxa"/>
            <w:shd w:val="clear" w:color="auto" w:fill="auto"/>
            <w:vAlign w:val="center"/>
            <w:hideMark/>
          </w:tcPr>
          <w:p w:rsidR="00C06104" w:rsidRPr="007F6890" w:rsidRDefault="00C06104" w:rsidP="00D42EAE">
            <w:r w:rsidRPr="007F6890">
              <w:t>Mindestanforderung</w:t>
            </w:r>
          </w:p>
        </w:tc>
      </w:tr>
      <w:tr w:rsidR="00C06104" w:rsidRPr="007F6890" w:rsidTr="00015EBB">
        <w:trPr>
          <w:trHeight w:val="454"/>
        </w:trPr>
        <w:tc>
          <w:tcPr>
            <w:tcW w:w="2845" w:type="dxa"/>
            <w:shd w:val="clear" w:color="auto" w:fill="BFBFBF"/>
            <w:vAlign w:val="center"/>
            <w:hideMark/>
          </w:tcPr>
          <w:p w:rsidR="00C06104" w:rsidRPr="00366B0C" w:rsidRDefault="00C06104" w:rsidP="00D42EAE">
            <w:r w:rsidRPr="00366B0C">
              <w:t>Zuordnung Nachhaltigkeitssäulen</w:t>
            </w:r>
          </w:p>
        </w:tc>
        <w:tc>
          <w:tcPr>
            <w:tcW w:w="6946" w:type="dxa"/>
            <w:shd w:val="clear" w:color="auto" w:fill="auto"/>
            <w:vAlign w:val="center"/>
            <w:hideMark/>
          </w:tcPr>
          <w:p w:rsidR="00C06104" w:rsidRPr="007F6890" w:rsidRDefault="00C06104" w:rsidP="00D42EAE">
            <w:r w:rsidRPr="007F6890">
              <w:t>Ökonomie</w:t>
            </w:r>
          </w:p>
        </w:tc>
      </w:tr>
      <w:tr w:rsidR="00C06104" w:rsidRPr="007F6890" w:rsidTr="00015EBB">
        <w:trPr>
          <w:trHeight w:val="454"/>
        </w:trPr>
        <w:tc>
          <w:tcPr>
            <w:tcW w:w="2845" w:type="dxa"/>
            <w:shd w:val="clear" w:color="auto" w:fill="BFBFBF"/>
            <w:vAlign w:val="center"/>
            <w:hideMark/>
          </w:tcPr>
          <w:p w:rsidR="00C06104" w:rsidRPr="00366B0C" w:rsidRDefault="00C06104" w:rsidP="00D42EAE">
            <w:r w:rsidRPr="00366B0C">
              <w:t>Detailzuordnungen gem. N-Check-</w:t>
            </w:r>
            <w:proofErr w:type="spellStart"/>
            <w:r w:rsidRPr="00366B0C">
              <w:t>Nachhaltig</w:t>
            </w:r>
            <w:r w:rsidR="00366B0C">
              <w:softHyphen/>
            </w:r>
            <w:r w:rsidRPr="00366B0C">
              <w:t>keits</w:t>
            </w:r>
            <w:r w:rsidR="005F5D76">
              <w:softHyphen/>
            </w:r>
            <w:r w:rsidRPr="00366B0C">
              <w:t>struktur</w:t>
            </w:r>
            <w:proofErr w:type="spellEnd"/>
          </w:p>
        </w:tc>
        <w:tc>
          <w:tcPr>
            <w:tcW w:w="6946" w:type="dxa"/>
            <w:shd w:val="clear" w:color="auto" w:fill="auto"/>
            <w:vAlign w:val="center"/>
            <w:hideMark/>
          </w:tcPr>
          <w:p w:rsidR="00C06104" w:rsidRPr="007F6890" w:rsidRDefault="00C06104" w:rsidP="00D42EAE">
            <w:r w:rsidRPr="007F6890">
              <w:t>Innovation, neue Produkte und Ideen</w:t>
            </w:r>
          </w:p>
        </w:tc>
      </w:tr>
      <w:bookmarkEnd w:id="0"/>
    </w:tbl>
    <w:p w:rsidR="006B7D8F" w:rsidRDefault="006B7D8F" w:rsidP="00D42EAE">
      <w:pPr>
        <w:rPr>
          <w:rFonts w:cs="Arial"/>
          <w:kern w:val="32"/>
          <w:sz w:val="34"/>
          <w:szCs w:val="32"/>
        </w:rPr>
      </w:pPr>
      <w:r>
        <w:br w:type="page"/>
      </w:r>
    </w:p>
    <w:p w:rsidR="00BA7C92" w:rsidRDefault="00BA7C92" w:rsidP="00D42EAE">
      <w:pPr>
        <w:pStyle w:val="berschrift1"/>
        <w:numPr>
          <w:ilvl w:val="0"/>
          <w:numId w:val="0"/>
        </w:numPr>
      </w:pPr>
      <w:r>
        <w:lastRenderedPageBreak/>
        <w:t>Kriterium</w:t>
      </w:r>
      <w:r w:rsidR="00015EBB">
        <w:t xml:space="preserve"> 2</w:t>
      </w:r>
    </w:p>
    <w:p w:rsidR="00C06104" w:rsidRPr="00BA7C92" w:rsidRDefault="006B7D8F" w:rsidP="00D42EAE">
      <w:pPr>
        <w:pStyle w:val="berschrift1"/>
        <w:numPr>
          <w:ilvl w:val="0"/>
          <w:numId w:val="0"/>
        </w:numPr>
        <w:rPr>
          <w:sz w:val="24"/>
          <w:szCs w:val="24"/>
        </w:rPr>
      </w:pPr>
      <w:r w:rsidRPr="00BA7C92">
        <w:rPr>
          <w:sz w:val="24"/>
          <w:szCs w:val="24"/>
        </w:rPr>
        <w:t>„Ausgeliehene Fachjury“</w:t>
      </w:r>
    </w:p>
    <w:tbl>
      <w:tblPr>
        <w:tblW w:w="9791" w:type="dxa"/>
        <w:tblInd w:w="60" w:type="dxa"/>
        <w:tblBorders>
          <w:top w:val="single" w:sz="4" w:space="0" w:color="7B7C7E"/>
          <w:left w:val="single" w:sz="4" w:space="0" w:color="7B7C7E"/>
          <w:bottom w:val="single" w:sz="4" w:space="0" w:color="7B7C7E"/>
          <w:right w:val="single" w:sz="4" w:space="0" w:color="7B7C7E"/>
          <w:insideH w:val="single" w:sz="4" w:space="0" w:color="7B7C7E"/>
          <w:insideV w:val="single" w:sz="4" w:space="0" w:color="7B7C7E"/>
        </w:tblBorders>
        <w:tblCellMar>
          <w:left w:w="70" w:type="dxa"/>
          <w:right w:w="70" w:type="dxa"/>
        </w:tblCellMar>
        <w:tblLook w:val="04A0"/>
      </w:tblPr>
      <w:tblGrid>
        <w:gridCol w:w="2845"/>
        <w:gridCol w:w="6946"/>
      </w:tblGrid>
      <w:tr w:rsidR="00366B0C" w:rsidTr="00015EBB">
        <w:trPr>
          <w:trHeight w:val="454"/>
        </w:trPr>
        <w:tc>
          <w:tcPr>
            <w:tcW w:w="2845" w:type="dxa"/>
            <w:shd w:val="clear" w:color="auto" w:fill="BFBFBF"/>
            <w:vAlign w:val="center"/>
            <w:hideMark/>
          </w:tcPr>
          <w:p w:rsidR="00366B0C" w:rsidRPr="00366B0C" w:rsidRDefault="00366B0C" w:rsidP="00D42EAE">
            <w:r w:rsidRPr="00366B0C">
              <w:t>Bezeichnung</w:t>
            </w:r>
          </w:p>
        </w:tc>
        <w:tc>
          <w:tcPr>
            <w:tcW w:w="6946" w:type="dxa"/>
            <w:shd w:val="clear" w:color="auto" w:fill="auto"/>
            <w:vAlign w:val="center"/>
            <w:hideMark/>
          </w:tcPr>
          <w:p w:rsidR="00366B0C" w:rsidRPr="00366B0C" w:rsidRDefault="00366B0C" w:rsidP="00D42EAE">
            <w:r w:rsidRPr="00230F52">
              <w:t>Beschaffungsgegenstand wurde durch eine Fachjury als innovativ beurteilt</w:t>
            </w:r>
          </w:p>
        </w:tc>
      </w:tr>
      <w:tr w:rsidR="00366B0C" w:rsidTr="00015EBB">
        <w:trPr>
          <w:trHeight w:val="454"/>
        </w:trPr>
        <w:tc>
          <w:tcPr>
            <w:tcW w:w="2845" w:type="dxa"/>
            <w:shd w:val="clear" w:color="auto" w:fill="BFBFBF"/>
            <w:vAlign w:val="center"/>
            <w:hideMark/>
          </w:tcPr>
          <w:p w:rsidR="00366B0C" w:rsidRPr="00366B0C" w:rsidRDefault="00366B0C" w:rsidP="00D42EAE">
            <w:r w:rsidRPr="00366B0C">
              <w:t>Quelle</w:t>
            </w:r>
          </w:p>
        </w:tc>
        <w:tc>
          <w:tcPr>
            <w:tcW w:w="6946" w:type="dxa"/>
            <w:shd w:val="clear" w:color="auto" w:fill="auto"/>
            <w:vAlign w:val="center"/>
            <w:hideMark/>
          </w:tcPr>
          <w:p w:rsidR="00366B0C" w:rsidRPr="00366B0C" w:rsidRDefault="00366B0C" w:rsidP="00D42EAE">
            <w:r w:rsidRPr="00366B0C">
              <w:t>IÖB-Tool</w:t>
            </w:r>
          </w:p>
        </w:tc>
      </w:tr>
      <w:tr w:rsidR="00366B0C" w:rsidTr="00015EBB">
        <w:trPr>
          <w:trHeight w:val="454"/>
        </w:trPr>
        <w:tc>
          <w:tcPr>
            <w:tcW w:w="2845" w:type="dxa"/>
            <w:shd w:val="clear" w:color="auto" w:fill="BFBFBF"/>
            <w:vAlign w:val="center"/>
            <w:hideMark/>
          </w:tcPr>
          <w:p w:rsidR="00366B0C" w:rsidRPr="00366B0C" w:rsidRDefault="00366B0C" w:rsidP="00D42EAE">
            <w:proofErr w:type="spellStart"/>
            <w:r w:rsidRPr="00366B0C">
              <w:t>Kriterienbezug</w:t>
            </w:r>
            <w:proofErr w:type="spellEnd"/>
          </w:p>
        </w:tc>
        <w:tc>
          <w:tcPr>
            <w:tcW w:w="6946" w:type="dxa"/>
            <w:shd w:val="clear" w:color="auto" w:fill="auto"/>
            <w:vAlign w:val="center"/>
            <w:hideMark/>
          </w:tcPr>
          <w:p w:rsidR="00366B0C" w:rsidRPr="00366B0C" w:rsidRDefault="00366B0C" w:rsidP="00D42EAE">
            <w:r w:rsidRPr="00366B0C">
              <w:t>Produkt-Kriterien</w:t>
            </w:r>
          </w:p>
        </w:tc>
      </w:tr>
      <w:tr w:rsidR="00366B0C" w:rsidTr="00015EBB">
        <w:trPr>
          <w:trHeight w:val="454"/>
        </w:trPr>
        <w:tc>
          <w:tcPr>
            <w:tcW w:w="2845" w:type="dxa"/>
            <w:shd w:val="clear" w:color="auto" w:fill="BFBFBF"/>
            <w:vAlign w:val="center"/>
            <w:hideMark/>
          </w:tcPr>
          <w:p w:rsidR="00366B0C" w:rsidRPr="00366B0C" w:rsidRDefault="00366B0C" w:rsidP="00D42EAE">
            <w:r w:rsidRPr="00366B0C">
              <w:t>Hintergrund</w:t>
            </w:r>
          </w:p>
        </w:tc>
        <w:tc>
          <w:tcPr>
            <w:tcW w:w="6946" w:type="dxa"/>
            <w:shd w:val="clear" w:color="auto" w:fill="auto"/>
            <w:vAlign w:val="center"/>
            <w:hideMark/>
          </w:tcPr>
          <w:p w:rsidR="00366B0C" w:rsidRPr="00366B0C" w:rsidRDefault="00366B0C" w:rsidP="00D42EAE">
            <w:r w:rsidRPr="00366B0C">
              <w:t>Die direkte Bewertung des Innovationsgehaltes eines Produktes bzw. einer Diens</w:t>
            </w:r>
            <w:r w:rsidRPr="00366B0C">
              <w:t>t</w:t>
            </w:r>
            <w:r w:rsidRPr="00366B0C">
              <w:t xml:space="preserve">leistung wird meist im Zusammenhang mit der Vergabe von Innovationspreisen bzw. FTI-Fördermitteln </w:t>
            </w:r>
            <w:r w:rsidR="00ED0B9C">
              <w:t xml:space="preserve">(Forschung, Technologie </w:t>
            </w:r>
            <w:r w:rsidR="005174DD">
              <w:t xml:space="preserve">und Innovation) </w:t>
            </w:r>
            <w:r w:rsidRPr="00366B0C">
              <w:t>durchgeführt und erfolgt gewöhnlich durch die Entscheidung einer Fachjury. Da für öffentliche Beschaffung</w:t>
            </w:r>
            <w:r w:rsidRPr="00366B0C">
              <w:t>s</w:t>
            </w:r>
            <w:r w:rsidRPr="00366B0C">
              <w:t>vorgänge – auch wenn sie unter der Zielsetzung der innovationsfördernden öffentl</w:t>
            </w:r>
            <w:r w:rsidRPr="00366B0C">
              <w:t>i</w:t>
            </w:r>
            <w:r w:rsidRPr="00366B0C">
              <w:t xml:space="preserve">chen Beschaffung ablaufen </w:t>
            </w:r>
            <w:r w:rsidR="005174DD">
              <w:t>–</w:t>
            </w:r>
            <w:r w:rsidRPr="00366B0C">
              <w:t xml:space="preserve"> </w:t>
            </w:r>
            <w:r w:rsidR="005174DD">
              <w:t xml:space="preserve">oft </w:t>
            </w:r>
            <w:r w:rsidRPr="00366B0C">
              <w:t>keine eigene Fachjury beauftragt werden kann, werden mit diesem Kriterium bereits getroffene Juryentscheidungen synergetisch genutzt.</w:t>
            </w:r>
          </w:p>
        </w:tc>
      </w:tr>
      <w:tr w:rsidR="00366B0C" w:rsidTr="00015EBB">
        <w:trPr>
          <w:trHeight w:val="454"/>
        </w:trPr>
        <w:tc>
          <w:tcPr>
            <w:tcW w:w="2845" w:type="dxa"/>
            <w:shd w:val="clear" w:color="auto" w:fill="BFBFBF"/>
            <w:vAlign w:val="center"/>
            <w:hideMark/>
          </w:tcPr>
          <w:p w:rsidR="00366B0C" w:rsidRPr="00366B0C" w:rsidRDefault="00366B0C" w:rsidP="00D42EAE">
            <w:r w:rsidRPr="00366B0C">
              <w:t>Anwendungshinweise</w:t>
            </w:r>
          </w:p>
        </w:tc>
        <w:tc>
          <w:tcPr>
            <w:tcW w:w="6946" w:type="dxa"/>
            <w:shd w:val="clear" w:color="auto" w:fill="auto"/>
            <w:vAlign w:val="center"/>
            <w:hideMark/>
          </w:tcPr>
          <w:p w:rsidR="00366B0C" w:rsidRPr="00366B0C" w:rsidRDefault="00366B0C" w:rsidP="00D42EAE">
            <w:r w:rsidRPr="00366B0C">
              <w:t>Es ist zu erwarten, dass die zur Bewertung dieses Kriteriums herangezogenen Jur</w:t>
            </w:r>
            <w:r w:rsidRPr="00366B0C">
              <w:t>y</w:t>
            </w:r>
            <w:r w:rsidRPr="00366B0C">
              <w:t xml:space="preserve">entscheidungen sehr heterogen sind </w:t>
            </w:r>
            <w:r w:rsidR="00230F52">
              <w:t>–</w:t>
            </w:r>
            <w:r w:rsidRPr="00366B0C">
              <w:t xml:space="preserve"> sowohl</w:t>
            </w:r>
            <w:r w:rsidR="00230F52">
              <w:t xml:space="preserve"> </w:t>
            </w:r>
            <w:r w:rsidRPr="00366B0C">
              <w:t>in Bezug auf die Zusammensetzung der Jury als auch auf den Entscheidungsprozess selbst. Eine Eingrenzung bzw. Fokussierung der anzuerkennenden Fachjurys kann nur im unmittelbaren Kontext mit dem zu beschaffenden Gegenstand erfolgen.</w:t>
            </w:r>
          </w:p>
          <w:p w:rsidR="00366B0C" w:rsidRPr="00366B0C" w:rsidRDefault="00366B0C" w:rsidP="00D42EAE">
            <w:r w:rsidRPr="00366B0C">
              <w:t>Zu betonen ist, dass sich der Innovationsgehalt des mit einem Innovationspreis bzw. einer FTI-Förderung bedachten Beschaffungsgegenstands nicht nur auf die Nu</w:t>
            </w:r>
            <w:r w:rsidRPr="00366B0C">
              <w:t>t</w:t>
            </w:r>
            <w:r w:rsidRPr="00366B0C">
              <w:t>zungsphase beschränken muss, sondern auch Innovationen in den Bereichen He</w:t>
            </w:r>
            <w:r w:rsidRPr="00366B0C">
              <w:t>r</w:t>
            </w:r>
            <w:r w:rsidRPr="00366B0C">
              <w:t>stellung, Transport und Entsorgung umfassen kann.</w:t>
            </w:r>
          </w:p>
        </w:tc>
      </w:tr>
      <w:tr w:rsidR="00366B0C" w:rsidTr="00015EBB">
        <w:trPr>
          <w:trHeight w:val="454"/>
        </w:trPr>
        <w:tc>
          <w:tcPr>
            <w:tcW w:w="2845" w:type="dxa"/>
            <w:shd w:val="clear" w:color="auto" w:fill="BFBFBF"/>
            <w:vAlign w:val="center"/>
            <w:hideMark/>
          </w:tcPr>
          <w:p w:rsidR="00366B0C" w:rsidRPr="00366B0C" w:rsidRDefault="00366B0C" w:rsidP="00D42EAE">
            <w:r w:rsidRPr="00366B0C">
              <w:t>Ausschreibungsvorlagen</w:t>
            </w:r>
          </w:p>
        </w:tc>
        <w:tc>
          <w:tcPr>
            <w:tcW w:w="6946" w:type="dxa"/>
            <w:shd w:val="clear" w:color="auto" w:fill="auto"/>
            <w:vAlign w:val="center"/>
            <w:hideMark/>
          </w:tcPr>
          <w:p w:rsidR="00366B0C" w:rsidRPr="00366B0C" w:rsidRDefault="00366B0C" w:rsidP="00D42EAE">
            <w:r w:rsidRPr="00366B0C">
              <w:t>Der Beschaffungsgegenstand wurde in den letzten drei Jahren mit einem Innovat</w:t>
            </w:r>
            <w:r w:rsidRPr="00366B0C">
              <w:t>i</w:t>
            </w:r>
            <w:r w:rsidRPr="00366B0C">
              <w:t>onspreis ausgezeichnet und / oder es wurden im Zuge der Entwicklung bzw. Planung FTI-Förderungen in Anspruch genommen und damit der Innovationsgehalt durch eine Fachjury bestätigt.</w:t>
            </w:r>
          </w:p>
        </w:tc>
      </w:tr>
      <w:tr w:rsidR="00366B0C" w:rsidTr="00015EBB">
        <w:trPr>
          <w:trHeight w:val="454"/>
        </w:trPr>
        <w:tc>
          <w:tcPr>
            <w:tcW w:w="2845" w:type="dxa"/>
            <w:shd w:val="clear" w:color="auto" w:fill="BFBFBF"/>
            <w:vAlign w:val="center"/>
            <w:hideMark/>
          </w:tcPr>
          <w:p w:rsidR="00366B0C" w:rsidRPr="00366B0C" w:rsidRDefault="00366B0C" w:rsidP="00D42EAE">
            <w:r w:rsidRPr="00366B0C">
              <w:t>Nachweis</w:t>
            </w:r>
          </w:p>
        </w:tc>
        <w:tc>
          <w:tcPr>
            <w:tcW w:w="6946" w:type="dxa"/>
            <w:shd w:val="clear" w:color="auto" w:fill="auto"/>
            <w:vAlign w:val="center"/>
            <w:hideMark/>
          </w:tcPr>
          <w:p w:rsidR="00366B0C" w:rsidRPr="00366B0C" w:rsidRDefault="00366B0C" w:rsidP="00D42EAE">
            <w:r w:rsidRPr="00366B0C">
              <w:t>Innovationspreis, der durch eine Fachjury vergeben wurde, und / oder Bestätigung der erhaltenen bzw. zugesicherten öffentlichen FTI-Förderungen.</w:t>
            </w:r>
          </w:p>
        </w:tc>
      </w:tr>
      <w:tr w:rsidR="00366B0C" w:rsidTr="00015EBB">
        <w:trPr>
          <w:trHeight w:val="454"/>
        </w:trPr>
        <w:tc>
          <w:tcPr>
            <w:tcW w:w="2845" w:type="dxa"/>
            <w:shd w:val="clear" w:color="auto" w:fill="BFBFBF"/>
            <w:vAlign w:val="center"/>
            <w:hideMark/>
          </w:tcPr>
          <w:p w:rsidR="00366B0C" w:rsidRPr="00366B0C" w:rsidRDefault="00366B0C" w:rsidP="00D42EAE">
            <w:proofErr w:type="spellStart"/>
            <w:r w:rsidRPr="00366B0C">
              <w:t>Kriterienart</w:t>
            </w:r>
            <w:proofErr w:type="spellEnd"/>
          </w:p>
        </w:tc>
        <w:tc>
          <w:tcPr>
            <w:tcW w:w="6946" w:type="dxa"/>
            <w:shd w:val="clear" w:color="auto" w:fill="auto"/>
            <w:vAlign w:val="center"/>
            <w:hideMark/>
          </w:tcPr>
          <w:p w:rsidR="00366B0C" w:rsidRPr="00366B0C" w:rsidRDefault="00366B0C" w:rsidP="00D42EAE">
            <w:r w:rsidRPr="00366B0C">
              <w:t>Zuschlagskriterium</w:t>
            </w:r>
          </w:p>
        </w:tc>
      </w:tr>
      <w:tr w:rsidR="00366B0C" w:rsidTr="00015EBB">
        <w:trPr>
          <w:trHeight w:val="454"/>
        </w:trPr>
        <w:tc>
          <w:tcPr>
            <w:tcW w:w="2845" w:type="dxa"/>
            <w:shd w:val="clear" w:color="auto" w:fill="BFBFBF"/>
            <w:vAlign w:val="center"/>
            <w:hideMark/>
          </w:tcPr>
          <w:p w:rsidR="00366B0C" w:rsidRPr="00366B0C" w:rsidRDefault="00366B0C" w:rsidP="00D42EAE">
            <w:r w:rsidRPr="00366B0C">
              <w:t>Zuordnung Nachhaltigkeitssäulen</w:t>
            </w:r>
          </w:p>
        </w:tc>
        <w:tc>
          <w:tcPr>
            <w:tcW w:w="6946" w:type="dxa"/>
            <w:shd w:val="clear" w:color="auto" w:fill="auto"/>
            <w:vAlign w:val="center"/>
            <w:hideMark/>
          </w:tcPr>
          <w:p w:rsidR="00366B0C" w:rsidRPr="00366B0C" w:rsidRDefault="00366B0C" w:rsidP="00D42EAE">
            <w:r w:rsidRPr="00366B0C">
              <w:t>Ökonomie</w:t>
            </w:r>
          </w:p>
        </w:tc>
      </w:tr>
      <w:tr w:rsidR="00366B0C" w:rsidTr="00015EBB">
        <w:trPr>
          <w:trHeight w:val="454"/>
        </w:trPr>
        <w:tc>
          <w:tcPr>
            <w:tcW w:w="2845" w:type="dxa"/>
            <w:shd w:val="clear" w:color="auto" w:fill="BFBFBF"/>
            <w:vAlign w:val="center"/>
            <w:hideMark/>
          </w:tcPr>
          <w:p w:rsidR="00366B0C" w:rsidRPr="00366B0C" w:rsidRDefault="00366B0C" w:rsidP="00D42EAE">
            <w:r w:rsidRPr="00366B0C">
              <w:t>Detailzuordnungen gem. N-Check-</w:t>
            </w:r>
            <w:proofErr w:type="spellStart"/>
            <w:r w:rsidRPr="00366B0C">
              <w:t>Nachhaltigkeits</w:t>
            </w:r>
            <w:r w:rsidR="005F5D76">
              <w:softHyphen/>
            </w:r>
            <w:r w:rsidRPr="00366B0C">
              <w:t>struktur</w:t>
            </w:r>
            <w:proofErr w:type="spellEnd"/>
          </w:p>
        </w:tc>
        <w:tc>
          <w:tcPr>
            <w:tcW w:w="6946" w:type="dxa"/>
            <w:shd w:val="clear" w:color="auto" w:fill="auto"/>
            <w:vAlign w:val="center"/>
            <w:hideMark/>
          </w:tcPr>
          <w:p w:rsidR="00366B0C" w:rsidRPr="00366B0C" w:rsidRDefault="00366B0C" w:rsidP="00D42EAE">
            <w:r w:rsidRPr="00366B0C">
              <w:t>zukunftsfähige Produkte</w:t>
            </w:r>
          </w:p>
        </w:tc>
      </w:tr>
    </w:tbl>
    <w:p w:rsidR="006B7D8F" w:rsidRDefault="006B7D8F" w:rsidP="00D42EAE"/>
    <w:p w:rsidR="006B7D8F" w:rsidRDefault="006B7D8F" w:rsidP="00D42EAE">
      <w:r>
        <w:br w:type="page"/>
      </w:r>
    </w:p>
    <w:p w:rsidR="00BA7C92" w:rsidRDefault="00BA7C92" w:rsidP="00D42EAE">
      <w:pPr>
        <w:pStyle w:val="berschrift1"/>
        <w:numPr>
          <w:ilvl w:val="0"/>
          <w:numId w:val="0"/>
        </w:numPr>
      </w:pPr>
      <w:r>
        <w:lastRenderedPageBreak/>
        <w:t>Kriterium</w:t>
      </w:r>
      <w:r w:rsidR="00015EBB">
        <w:t xml:space="preserve"> 3</w:t>
      </w:r>
    </w:p>
    <w:p w:rsidR="006B7D8F" w:rsidRPr="00BA7C92" w:rsidRDefault="006B7D8F" w:rsidP="00D42EAE">
      <w:pPr>
        <w:pStyle w:val="berschrift1"/>
        <w:numPr>
          <w:ilvl w:val="0"/>
          <w:numId w:val="0"/>
        </w:numPr>
        <w:rPr>
          <w:sz w:val="24"/>
          <w:szCs w:val="24"/>
        </w:rPr>
      </w:pPr>
      <w:r w:rsidRPr="00BA7C92">
        <w:rPr>
          <w:sz w:val="24"/>
          <w:szCs w:val="24"/>
        </w:rPr>
        <w:t xml:space="preserve">„Ausgeliehene </w:t>
      </w:r>
      <w:proofErr w:type="spellStart"/>
      <w:r w:rsidRPr="00BA7C92">
        <w:rPr>
          <w:sz w:val="24"/>
          <w:szCs w:val="24"/>
        </w:rPr>
        <w:t>ExpertInnenbewertung</w:t>
      </w:r>
      <w:proofErr w:type="spellEnd"/>
      <w:r w:rsidRPr="00BA7C92">
        <w:rPr>
          <w:sz w:val="24"/>
          <w:szCs w:val="24"/>
        </w:rPr>
        <w:t>“</w:t>
      </w:r>
    </w:p>
    <w:tbl>
      <w:tblPr>
        <w:tblW w:w="9791" w:type="dxa"/>
        <w:tblInd w:w="60" w:type="dxa"/>
        <w:tblBorders>
          <w:top w:val="single" w:sz="4" w:space="0" w:color="7B7C7E"/>
          <w:left w:val="single" w:sz="4" w:space="0" w:color="7B7C7E"/>
          <w:bottom w:val="single" w:sz="4" w:space="0" w:color="7B7C7E"/>
          <w:right w:val="single" w:sz="4" w:space="0" w:color="7B7C7E"/>
          <w:insideH w:val="single" w:sz="4" w:space="0" w:color="7B7C7E"/>
          <w:insideV w:val="single" w:sz="4" w:space="0" w:color="7B7C7E"/>
        </w:tblBorders>
        <w:tblCellMar>
          <w:left w:w="70" w:type="dxa"/>
          <w:right w:w="70" w:type="dxa"/>
        </w:tblCellMar>
        <w:tblLook w:val="04A0"/>
      </w:tblPr>
      <w:tblGrid>
        <w:gridCol w:w="2845"/>
        <w:gridCol w:w="6946"/>
      </w:tblGrid>
      <w:tr w:rsidR="005F5D76" w:rsidTr="00015EBB">
        <w:trPr>
          <w:trHeight w:val="454"/>
        </w:trPr>
        <w:tc>
          <w:tcPr>
            <w:tcW w:w="2845" w:type="dxa"/>
            <w:shd w:val="clear" w:color="auto" w:fill="BFBFBF"/>
            <w:vAlign w:val="center"/>
            <w:hideMark/>
          </w:tcPr>
          <w:p w:rsidR="005F5D76" w:rsidRPr="005F5D76" w:rsidRDefault="005F5D76" w:rsidP="00D42EAE">
            <w:r w:rsidRPr="005F5D76">
              <w:t>Bezeichnung</w:t>
            </w:r>
          </w:p>
        </w:tc>
        <w:tc>
          <w:tcPr>
            <w:tcW w:w="6946" w:type="dxa"/>
            <w:shd w:val="clear" w:color="auto" w:fill="auto"/>
            <w:vAlign w:val="center"/>
            <w:hideMark/>
          </w:tcPr>
          <w:p w:rsidR="005F5D76" w:rsidRPr="005F5D76" w:rsidRDefault="005F5D76" w:rsidP="00D42EAE">
            <w:r w:rsidRPr="00230F52">
              <w:t xml:space="preserve">Technologie des Beschaffungsgegenstandes wurde im KomKlimA-Technologiekatalog </w:t>
            </w:r>
            <w:r w:rsidR="00230F52" w:rsidRPr="00230F52">
              <w:t>als hoch</w:t>
            </w:r>
            <w:r w:rsidRPr="00230F52">
              <w:t>innovativ eingestuft</w:t>
            </w:r>
          </w:p>
        </w:tc>
      </w:tr>
      <w:tr w:rsidR="005F5D76" w:rsidTr="00015EBB">
        <w:trPr>
          <w:trHeight w:val="454"/>
        </w:trPr>
        <w:tc>
          <w:tcPr>
            <w:tcW w:w="2845" w:type="dxa"/>
            <w:shd w:val="clear" w:color="auto" w:fill="BFBFBF"/>
            <w:vAlign w:val="center"/>
            <w:hideMark/>
          </w:tcPr>
          <w:p w:rsidR="005F5D76" w:rsidRPr="005F5D76" w:rsidRDefault="005F5D76" w:rsidP="00D42EAE">
            <w:r w:rsidRPr="005F5D76">
              <w:t>Quelle</w:t>
            </w:r>
          </w:p>
        </w:tc>
        <w:tc>
          <w:tcPr>
            <w:tcW w:w="6946" w:type="dxa"/>
            <w:shd w:val="clear" w:color="auto" w:fill="auto"/>
            <w:vAlign w:val="center"/>
            <w:hideMark/>
          </w:tcPr>
          <w:p w:rsidR="005F5D76" w:rsidRPr="005F5D76" w:rsidRDefault="005F5D76" w:rsidP="00D42EAE">
            <w:r w:rsidRPr="005F5D76">
              <w:t>IÖB-Tool</w:t>
            </w:r>
          </w:p>
        </w:tc>
      </w:tr>
      <w:tr w:rsidR="005F5D76" w:rsidTr="00015EBB">
        <w:trPr>
          <w:trHeight w:val="454"/>
        </w:trPr>
        <w:tc>
          <w:tcPr>
            <w:tcW w:w="2845" w:type="dxa"/>
            <w:shd w:val="clear" w:color="auto" w:fill="BFBFBF"/>
            <w:vAlign w:val="center"/>
            <w:hideMark/>
          </w:tcPr>
          <w:p w:rsidR="005F5D76" w:rsidRPr="005F5D76" w:rsidRDefault="005F5D76" w:rsidP="00D42EAE">
            <w:proofErr w:type="spellStart"/>
            <w:r w:rsidRPr="005F5D76">
              <w:t>Kriterienbezug</w:t>
            </w:r>
            <w:proofErr w:type="spellEnd"/>
          </w:p>
        </w:tc>
        <w:tc>
          <w:tcPr>
            <w:tcW w:w="6946" w:type="dxa"/>
            <w:shd w:val="clear" w:color="auto" w:fill="auto"/>
            <w:vAlign w:val="center"/>
            <w:hideMark/>
          </w:tcPr>
          <w:p w:rsidR="005F5D76" w:rsidRPr="005F5D76" w:rsidRDefault="005F5D76" w:rsidP="00D42EAE">
            <w:r w:rsidRPr="005F5D76">
              <w:t>Produkt-Kriterien</w:t>
            </w:r>
          </w:p>
        </w:tc>
      </w:tr>
      <w:tr w:rsidR="005F5D76" w:rsidTr="00015EBB">
        <w:trPr>
          <w:trHeight w:val="454"/>
        </w:trPr>
        <w:tc>
          <w:tcPr>
            <w:tcW w:w="2845" w:type="dxa"/>
            <w:shd w:val="clear" w:color="auto" w:fill="BFBFBF"/>
            <w:vAlign w:val="center"/>
            <w:hideMark/>
          </w:tcPr>
          <w:p w:rsidR="005F5D76" w:rsidRPr="005F5D76" w:rsidRDefault="005F5D76" w:rsidP="00D42EAE">
            <w:r w:rsidRPr="005F5D76">
              <w:t>Hintergrund</w:t>
            </w:r>
          </w:p>
        </w:tc>
        <w:tc>
          <w:tcPr>
            <w:tcW w:w="6946" w:type="dxa"/>
            <w:shd w:val="clear" w:color="auto" w:fill="auto"/>
            <w:vAlign w:val="center"/>
            <w:hideMark/>
          </w:tcPr>
          <w:p w:rsidR="005F5D76" w:rsidRPr="005F5D76" w:rsidRDefault="005F5D76" w:rsidP="00D42EAE">
            <w:r w:rsidRPr="005F5D76">
              <w:t xml:space="preserve">Im Projekt „KomKlimA – Kommunaler Klimaschutz-Aktionsplan für Österreich“ wurde ein umfassender, öffentlich zugänglicher online-Technologiekatalog erstellt. Neben zahlreichen weiteren </w:t>
            </w:r>
            <w:proofErr w:type="spellStart"/>
            <w:r w:rsidR="00230F52">
              <w:t>ExpertInnen</w:t>
            </w:r>
            <w:proofErr w:type="spellEnd"/>
            <w:r w:rsidR="00230F52">
              <w:t>-</w:t>
            </w:r>
            <w:r w:rsidRPr="005F5D76">
              <w:t>Bewertungen</w:t>
            </w:r>
            <w:r w:rsidR="00230F52">
              <w:t xml:space="preserve"> – wie etwa </w:t>
            </w:r>
            <w:r w:rsidR="00087079">
              <w:t xml:space="preserve">zu </w:t>
            </w:r>
            <w:r w:rsidR="00230F52">
              <w:t>ökologischen Auswi</w:t>
            </w:r>
            <w:r w:rsidR="00230F52">
              <w:t>r</w:t>
            </w:r>
            <w:r w:rsidR="00230F52">
              <w:t>kungen, wirtschaftliche</w:t>
            </w:r>
            <w:r w:rsidR="00087079">
              <w:t>n</w:t>
            </w:r>
            <w:r w:rsidR="00230F52">
              <w:t xml:space="preserve"> Aspekte</w:t>
            </w:r>
            <w:r w:rsidR="00087079">
              <w:t>n</w:t>
            </w:r>
            <w:r w:rsidR="00230F52">
              <w:t xml:space="preserve">, organisatorische Umsetzungsfaktoren u.v.m. – </w:t>
            </w:r>
            <w:r w:rsidRPr="005F5D76">
              <w:t>wurde</w:t>
            </w:r>
            <w:r w:rsidR="00230F52">
              <w:t xml:space="preserve"> </w:t>
            </w:r>
            <w:r w:rsidRPr="005F5D76">
              <w:t>auch der Innovationsgehalt erfasst.</w:t>
            </w:r>
            <w:r w:rsidR="00D33172">
              <w:t xml:space="preserve"> </w:t>
            </w:r>
            <w:r w:rsidR="00230F52">
              <w:t>Somit kann der online-Technologiekatalog verwendet werden, um eine eigens beauftragte Fachjury zu vertreten.</w:t>
            </w:r>
            <w:r w:rsidR="00D33172">
              <w:t xml:space="preserve"> Die Bewertung der KomKlimA-</w:t>
            </w:r>
            <w:proofErr w:type="spellStart"/>
            <w:r w:rsidR="00D33172">
              <w:t>ExpertInnen</w:t>
            </w:r>
            <w:proofErr w:type="spellEnd"/>
            <w:r w:rsidR="00D33172">
              <w:t xml:space="preserve"> wird also synergetisch für öffentliche Beschaffungsvo</w:t>
            </w:r>
            <w:r w:rsidR="00D33172">
              <w:t>r</w:t>
            </w:r>
            <w:r w:rsidR="00D33172">
              <w:t>gänge genutzt.</w:t>
            </w:r>
          </w:p>
        </w:tc>
      </w:tr>
      <w:tr w:rsidR="005F5D76" w:rsidTr="00015EBB">
        <w:trPr>
          <w:trHeight w:val="454"/>
        </w:trPr>
        <w:tc>
          <w:tcPr>
            <w:tcW w:w="2845" w:type="dxa"/>
            <w:shd w:val="clear" w:color="auto" w:fill="BFBFBF"/>
            <w:vAlign w:val="center"/>
            <w:hideMark/>
          </w:tcPr>
          <w:p w:rsidR="005F5D76" w:rsidRPr="005F5D76" w:rsidRDefault="005F5D76" w:rsidP="00D42EAE">
            <w:r w:rsidRPr="005F5D76">
              <w:t>Anwendungshinweise</w:t>
            </w:r>
          </w:p>
        </w:tc>
        <w:tc>
          <w:tcPr>
            <w:tcW w:w="6946" w:type="dxa"/>
            <w:shd w:val="clear" w:color="auto" w:fill="auto"/>
            <w:vAlign w:val="center"/>
            <w:hideMark/>
          </w:tcPr>
          <w:p w:rsidR="005F5D76" w:rsidRPr="005F5D76" w:rsidRDefault="00F25C09" w:rsidP="00D42EAE">
            <w:r>
              <w:t>Das Projekt „KomKlimA – Kommunaler Klimaschutz-Aktionsplan für Österreich“ hatte zum Ziel</w:t>
            </w:r>
            <w:r w:rsidR="003517DD">
              <w:t>,</w:t>
            </w:r>
            <w:r>
              <w:t xml:space="preserve"> Instrumente zu erstellen bzw. zusammenzutragen, die Gemeinden bei der Umsetzung von klimafreundlichen Technologien unterstützen. Die Hilfestellungen wurden auf </w:t>
            </w:r>
            <w:hyperlink r:id="rId16" w:history="1">
              <w:r w:rsidRPr="00DB1137">
                <w:rPr>
                  <w:rStyle w:val="Hyperlink"/>
                </w:rPr>
                <w:t>www.komklima.at</w:t>
              </w:r>
            </w:hyperlink>
            <w:r>
              <w:t xml:space="preserve"> zusammengestellt – unter anderem der online-Technologiekatalog als zentrales Informations</w:t>
            </w:r>
            <w:r w:rsidR="00087079">
              <w:t>instrument</w:t>
            </w:r>
            <w:r>
              <w:t xml:space="preserve"> und </w:t>
            </w:r>
            <w:r w:rsidR="00087079">
              <w:t>Inspirationsquelle</w:t>
            </w:r>
            <w:r w:rsidR="002B28A6">
              <w:t xml:space="preserve">. </w:t>
            </w:r>
          </w:p>
        </w:tc>
      </w:tr>
      <w:tr w:rsidR="005F5D76" w:rsidTr="00015EBB">
        <w:trPr>
          <w:trHeight w:val="454"/>
        </w:trPr>
        <w:tc>
          <w:tcPr>
            <w:tcW w:w="2845" w:type="dxa"/>
            <w:shd w:val="clear" w:color="auto" w:fill="BFBFBF"/>
            <w:vAlign w:val="center"/>
            <w:hideMark/>
          </w:tcPr>
          <w:p w:rsidR="005F5D76" w:rsidRPr="005F5D76" w:rsidRDefault="005F5D76" w:rsidP="00D42EAE">
            <w:r w:rsidRPr="005F5D76">
              <w:t>Ausschreibungsvorlagen</w:t>
            </w:r>
          </w:p>
        </w:tc>
        <w:tc>
          <w:tcPr>
            <w:tcW w:w="6946" w:type="dxa"/>
            <w:shd w:val="clear" w:color="auto" w:fill="auto"/>
            <w:vAlign w:val="center"/>
            <w:hideMark/>
          </w:tcPr>
          <w:p w:rsidR="005F5D76" w:rsidRPr="005F5D76" w:rsidRDefault="005F5D76" w:rsidP="00D42EAE">
            <w:r w:rsidRPr="005F5D76">
              <w:t xml:space="preserve">Der Beschaffungsgegenstand bzw. dessen zugrundeliegende Technologie wurde durch das KomKlimA-Konsortium als </w:t>
            </w:r>
            <w:r w:rsidR="002B28A6">
              <w:t>hoch</w:t>
            </w:r>
            <w:r w:rsidRPr="005F5D76">
              <w:t>innovativ eingestuft.</w:t>
            </w:r>
            <w:r w:rsidR="002B28A6">
              <w:t xml:space="preserve"> Die Technologieau</w:t>
            </w:r>
            <w:r w:rsidR="002B28A6">
              <w:t>s</w:t>
            </w:r>
            <w:r w:rsidR="002B28A6">
              <w:t xml:space="preserve">wahl kann unter </w:t>
            </w:r>
            <w:hyperlink r:id="rId17" w:history="1">
              <w:r w:rsidR="00EC50C2" w:rsidRPr="004D345E">
                <w:rPr>
                  <w:rStyle w:val="Hyperlink"/>
                </w:rPr>
                <w:t>www.komklima.at</w:t>
              </w:r>
            </w:hyperlink>
            <w:r w:rsidR="002B28A6">
              <w:rPr>
                <w:rStyle w:val="Funotenzeichen"/>
              </w:rPr>
              <w:footnoteReference w:id="1"/>
            </w:r>
            <w:r w:rsidR="002B28A6">
              <w:t xml:space="preserve"> abgerufen werden.</w:t>
            </w:r>
          </w:p>
        </w:tc>
      </w:tr>
      <w:tr w:rsidR="005F5D76" w:rsidTr="00015EBB">
        <w:trPr>
          <w:trHeight w:val="454"/>
        </w:trPr>
        <w:tc>
          <w:tcPr>
            <w:tcW w:w="2845" w:type="dxa"/>
            <w:shd w:val="clear" w:color="auto" w:fill="BFBFBF"/>
            <w:vAlign w:val="center"/>
            <w:hideMark/>
          </w:tcPr>
          <w:p w:rsidR="005F5D76" w:rsidRPr="005F5D76" w:rsidRDefault="005F5D76" w:rsidP="00D42EAE">
            <w:r w:rsidRPr="005F5D76">
              <w:t>Nachweis</w:t>
            </w:r>
          </w:p>
        </w:tc>
        <w:tc>
          <w:tcPr>
            <w:tcW w:w="6946" w:type="dxa"/>
            <w:shd w:val="clear" w:color="auto" w:fill="auto"/>
            <w:vAlign w:val="center"/>
            <w:hideMark/>
          </w:tcPr>
          <w:p w:rsidR="005F5D76" w:rsidRPr="005F5D76" w:rsidRDefault="005F5D76" w:rsidP="00D42EAE">
            <w:r w:rsidRPr="005F5D76">
              <w:t>Überprüfung im online-Technologiekatalog</w:t>
            </w:r>
            <w:r w:rsidR="002B28A6">
              <w:t xml:space="preserve"> </w:t>
            </w:r>
            <w:hyperlink r:id="rId18" w:history="1">
              <w:r w:rsidR="00EC50C2" w:rsidRPr="004D345E">
                <w:rPr>
                  <w:rStyle w:val="Hyperlink"/>
                </w:rPr>
                <w:t>(www.komklima.at)</w:t>
              </w:r>
            </w:hyperlink>
            <w:r w:rsidR="00EC50C2">
              <w:t xml:space="preserve"> </w:t>
            </w:r>
            <w:r w:rsidRPr="005F5D76">
              <w:t xml:space="preserve"> </w:t>
            </w:r>
          </w:p>
        </w:tc>
      </w:tr>
      <w:tr w:rsidR="005F5D76" w:rsidTr="00015EBB">
        <w:trPr>
          <w:trHeight w:val="454"/>
        </w:trPr>
        <w:tc>
          <w:tcPr>
            <w:tcW w:w="2845" w:type="dxa"/>
            <w:shd w:val="clear" w:color="auto" w:fill="BFBFBF"/>
            <w:vAlign w:val="center"/>
            <w:hideMark/>
          </w:tcPr>
          <w:p w:rsidR="005F5D76" w:rsidRPr="005F5D76" w:rsidRDefault="005F5D76" w:rsidP="00D42EAE">
            <w:proofErr w:type="spellStart"/>
            <w:r w:rsidRPr="005F5D76">
              <w:t>Kriterienart</w:t>
            </w:r>
            <w:proofErr w:type="spellEnd"/>
          </w:p>
        </w:tc>
        <w:tc>
          <w:tcPr>
            <w:tcW w:w="6946" w:type="dxa"/>
            <w:shd w:val="clear" w:color="auto" w:fill="auto"/>
            <w:vAlign w:val="center"/>
            <w:hideMark/>
          </w:tcPr>
          <w:p w:rsidR="005F5D76" w:rsidRPr="005F5D76" w:rsidRDefault="005F5D76" w:rsidP="00D42EAE">
            <w:r w:rsidRPr="005F5D76">
              <w:t>Zuschlagskriterium</w:t>
            </w:r>
          </w:p>
        </w:tc>
      </w:tr>
      <w:tr w:rsidR="005F5D76" w:rsidTr="00015EBB">
        <w:trPr>
          <w:trHeight w:val="454"/>
        </w:trPr>
        <w:tc>
          <w:tcPr>
            <w:tcW w:w="2845" w:type="dxa"/>
            <w:shd w:val="clear" w:color="auto" w:fill="BFBFBF"/>
            <w:vAlign w:val="center"/>
            <w:hideMark/>
          </w:tcPr>
          <w:p w:rsidR="005F5D76" w:rsidRPr="005F5D76" w:rsidRDefault="005F5D76" w:rsidP="00D42EAE">
            <w:r w:rsidRPr="005F5D76">
              <w:t>Zuordnung Nachhaltigkeitssäulen</w:t>
            </w:r>
          </w:p>
        </w:tc>
        <w:tc>
          <w:tcPr>
            <w:tcW w:w="6946" w:type="dxa"/>
            <w:shd w:val="clear" w:color="auto" w:fill="auto"/>
            <w:vAlign w:val="center"/>
            <w:hideMark/>
          </w:tcPr>
          <w:p w:rsidR="005F5D76" w:rsidRPr="005F5D76" w:rsidRDefault="005F5D76" w:rsidP="00D42EAE">
            <w:r w:rsidRPr="005F5D76">
              <w:t>Ökonomie</w:t>
            </w:r>
          </w:p>
        </w:tc>
      </w:tr>
      <w:tr w:rsidR="005F5D76" w:rsidTr="00015EBB">
        <w:trPr>
          <w:trHeight w:val="454"/>
        </w:trPr>
        <w:tc>
          <w:tcPr>
            <w:tcW w:w="2845" w:type="dxa"/>
            <w:shd w:val="clear" w:color="auto" w:fill="BFBFBF"/>
            <w:vAlign w:val="center"/>
            <w:hideMark/>
          </w:tcPr>
          <w:p w:rsidR="005F5D76" w:rsidRPr="005F5D76" w:rsidRDefault="005F5D76" w:rsidP="00D42EAE">
            <w:r w:rsidRPr="005F5D76">
              <w:t>Detailzuordnungen gem. N-Check-</w:t>
            </w:r>
            <w:proofErr w:type="spellStart"/>
            <w:r w:rsidRPr="005F5D76">
              <w:t>Nachhaltigkeits</w:t>
            </w:r>
            <w:r w:rsidR="002B28A6">
              <w:softHyphen/>
            </w:r>
            <w:r w:rsidRPr="005F5D76">
              <w:t>struktur</w:t>
            </w:r>
            <w:proofErr w:type="spellEnd"/>
          </w:p>
        </w:tc>
        <w:tc>
          <w:tcPr>
            <w:tcW w:w="6946" w:type="dxa"/>
            <w:shd w:val="clear" w:color="auto" w:fill="auto"/>
            <w:vAlign w:val="center"/>
            <w:hideMark/>
          </w:tcPr>
          <w:p w:rsidR="005F5D76" w:rsidRPr="005F5D76" w:rsidRDefault="005F5D76" w:rsidP="00D42EAE">
            <w:r w:rsidRPr="005F5D76">
              <w:t>Innovation, neue Produkte und Ideen</w:t>
            </w:r>
          </w:p>
        </w:tc>
      </w:tr>
    </w:tbl>
    <w:p w:rsidR="006C3922" w:rsidRDefault="006C3922" w:rsidP="00D42EAE">
      <w:pPr>
        <w:pStyle w:val="berschrift1"/>
        <w:numPr>
          <w:ilvl w:val="0"/>
          <w:numId w:val="0"/>
        </w:numPr>
        <w:rPr>
          <w:highlight w:val="red"/>
        </w:rPr>
      </w:pPr>
    </w:p>
    <w:p w:rsidR="006C3922" w:rsidRDefault="006C3922" w:rsidP="006C3922">
      <w:pPr>
        <w:rPr>
          <w:rFonts w:eastAsia="MS Mincho"/>
          <w:color w:val="0096BB"/>
          <w:sz w:val="40"/>
          <w:szCs w:val="28"/>
          <w:highlight w:val="red"/>
        </w:rPr>
      </w:pPr>
      <w:r>
        <w:rPr>
          <w:highlight w:val="red"/>
        </w:rPr>
        <w:br w:type="page"/>
      </w:r>
    </w:p>
    <w:p w:rsidR="006C3922" w:rsidRDefault="006C3922" w:rsidP="006C3922">
      <w:pPr>
        <w:pStyle w:val="berschrift2"/>
        <w:numPr>
          <w:ilvl w:val="0"/>
          <w:numId w:val="0"/>
        </w:numPr>
      </w:pPr>
      <w:r>
        <w:lastRenderedPageBreak/>
        <w:t>Haftungsausschluss</w:t>
      </w:r>
    </w:p>
    <w:p w:rsidR="006C3922" w:rsidRDefault="006C3922" w:rsidP="006C3922">
      <w:r w:rsidRPr="006C3922">
        <w:t xml:space="preserve">Die Module des IÖB-Tools wurden sorgfältig und nach bestem Wissen und Gewissen der </w:t>
      </w:r>
      <w:proofErr w:type="spellStart"/>
      <w:r w:rsidRPr="006C3922">
        <w:t>AutorInnen</w:t>
      </w:r>
      <w:proofErr w:type="spellEnd"/>
      <w:r w:rsidRPr="006C3922">
        <w:t xml:space="preserve"> erstellt. Es kann j</w:t>
      </w:r>
      <w:r w:rsidRPr="006C3922">
        <w:t>e</w:t>
      </w:r>
      <w:r w:rsidRPr="006C3922">
        <w:t>doch keine Garantie für Aktualität, Vollständigkeit und Richtigkeit der Inhalte gegeben werden.</w:t>
      </w:r>
    </w:p>
    <w:p w:rsidR="006C3922" w:rsidRDefault="006C3922" w:rsidP="006C3922"/>
    <w:p w:rsidR="006C3922" w:rsidRDefault="006C3922" w:rsidP="006C3922">
      <w:r w:rsidRPr="006C3922">
        <w:t xml:space="preserve">Die IÖB-Tool-Module A1 “IÖB-Tool für Fachjurys” und A2 „Innovationskriterien für den </w:t>
      </w:r>
      <w:proofErr w:type="spellStart"/>
      <w:r w:rsidRPr="006C3922">
        <w:t>N.Check</w:t>
      </w:r>
      <w:proofErr w:type="spellEnd"/>
      <w:r w:rsidRPr="006C3922">
        <w:t xml:space="preserve"> Einkauf“ sind als Unterstü</w:t>
      </w:r>
      <w:r w:rsidRPr="006C3922">
        <w:t>t</w:t>
      </w:r>
      <w:r w:rsidRPr="006C3922">
        <w:t>zung bei der BestbieterInnen-Findung konzipiert worden. Sie erheben nicht den Anspruch, alle entscheidungsrelevanten Einfluss- bzw. Zielgrößen umfassend zu berücksichtigen, sondern wurden in Hinblick auf eine hohe Benutzerfreundlichkeit sowie einfache Handhabung optimiert. Dies umfasste auch die Anforderung, die IÖB-Tool-Module A1 und A2 so zu gesta</w:t>
      </w:r>
      <w:r w:rsidRPr="006C3922">
        <w:t>l</w:t>
      </w:r>
      <w:r w:rsidRPr="006C3922">
        <w:t xml:space="preserve">ten, dass diese möglichst gut in bestehende Prozesse und Instrumente - wie Jurierungsprozesse oder das online-Tool </w:t>
      </w:r>
      <w:proofErr w:type="spellStart"/>
      <w:r w:rsidRPr="006C3922">
        <w:t>N.Check</w:t>
      </w:r>
      <w:proofErr w:type="spellEnd"/>
      <w:r w:rsidRPr="006C3922">
        <w:t xml:space="preserve"> Einkauf – integriert werden können und möglichst breit anwendbar sind. </w:t>
      </w:r>
    </w:p>
    <w:p w:rsidR="006C3922" w:rsidRPr="006C3922" w:rsidRDefault="006C3922" w:rsidP="006C3922"/>
    <w:p w:rsidR="006C3922" w:rsidRDefault="006C3922" w:rsidP="006C3922">
      <w:r w:rsidRPr="006C3922">
        <w:t xml:space="preserve">Entsprechend dieser Zielsetzungen wurde eine exemplarische Auswahl an Kriterien zur Abschätzung von Innovationsgehalt bzw. Risiko zusammengestellt, deren Bewertung Entscheidungsprozesse rund um innovationsfördernde Beschaffungen unterstützen kann. </w:t>
      </w:r>
    </w:p>
    <w:p w:rsidR="006C3922" w:rsidRPr="006C3922" w:rsidRDefault="006C3922" w:rsidP="006C3922"/>
    <w:p w:rsidR="006C3922" w:rsidRDefault="006C3922" w:rsidP="006C3922">
      <w:r w:rsidRPr="006C3922">
        <w:t>Da die den Bewertungstools zugrundegelegten Kriterien, Informationen, Entscheidungsgrößen und Bewertungsalgorithmen möglichst allgemein gültig sein sollen, können sie folglich auch nur einen Ausschnitt der im Einzelfall, d.h. in Bezug auf das konkrete Produkt bzw. Dienstleistungsangebot, relevanten Einflussfaktoren beinhalten und eine detaillierte Analyse und konkrete Einzelfall-</w:t>
      </w:r>
      <w:r>
        <w:t>Bewertung somit nicht ersetzen.</w:t>
      </w:r>
    </w:p>
    <w:p w:rsidR="006C3922" w:rsidRPr="006C3922" w:rsidRDefault="006C3922" w:rsidP="006C3922"/>
    <w:p w:rsidR="00EA37D4" w:rsidRPr="006C3922" w:rsidRDefault="006C3922" w:rsidP="006C3922">
      <w:r w:rsidRPr="006C3922">
        <w:t xml:space="preserve">Aus der Anwendung / Nutzung der IÖB-Tools kann daher auch kein wie immer gearteter (Rechts-)Anspruch abgeleitet </w:t>
      </w:r>
      <w:r>
        <w:t>w</w:t>
      </w:r>
      <w:r w:rsidRPr="006C3922">
        <w:t>erden, weder aus der Nutzung noch aus der Nicht-Nutzung der IÖB-Tools und weder gegenüber öffentlichen Einrichtu</w:t>
      </w:r>
      <w:r w:rsidRPr="006C3922">
        <w:t>n</w:t>
      </w:r>
      <w:r w:rsidRPr="006C3922">
        <w:t xml:space="preserve">gen noch im Hinblick auf andere Unternehmen, </w:t>
      </w:r>
      <w:proofErr w:type="spellStart"/>
      <w:r w:rsidRPr="006C3922">
        <w:t>Anwe</w:t>
      </w:r>
      <w:r w:rsidRPr="006C3922">
        <w:t>n</w:t>
      </w:r>
      <w:r w:rsidRPr="006C3922">
        <w:t>derInnen</w:t>
      </w:r>
      <w:proofErr w:type="spellEnd"/>
      <w:r w:rsidRPr="006C3922">
        <w:t xml:space="preserve"> oder Nicht-</w:t>
      </w:r>
      <w:proofErr w:type="spellStart"/>
      <w:r w:rsidRPr="006C3922">
        <w:t>AnwenderInnen</w:t>
      </w:r>
      <w:proofErr w:type="spellEnd"/>
      <w:r w:rsidRPr="006C3922">
        <w:t>.</w:t>
      </w:r>
    </w:p>
    <w:sectPr w:rsidR="00EA37D4" w:rsidRPr="006C3922" w:rsidSect="00F11A36">
      <w:headerReference w:type="default" r:id="rId19"/>
      <w:pgSz w:w="11906" w:h="16838" w:code="9"/>
      <w:pgMar w:top="1985" w:right="1021" w:bottom="1701" w:left="1021" w:header="158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7FD" w:rsidRDefault="00EC27FD" w:rsidP="00D42EAE">
      <w:r>
        <w:separator/>
      </w:r>
    </w:p>
  </w:endnote>
  <w:endnote w:type="continuationSeparator" w:id="0">
    <w:p w:rsidR="00EC27FD" w:rsidRDefault="00EC27FD" w:rsidP="00D42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Pr="006705C4" w:rsidRDefault="00100B73" w:rsidP="00100B73">
    <w:pPr>
      <w:pStyle w:val="Fuzeile"/>
      <w:ind w:right="-567"/>
      <w:rPr>
        <w:rFonts w:cs="Arial"/>
        <w:color w:val="0096BB"/>
        <w:spacing w:val="1"/>
        <w:sz w:val="18"/>
      </w:rPr>
    </w:pPr>
    <w:r>
      <w:rPr>
        <w:rFonts w:cs="Arial"/>
        <w:noProof/>
        <w:lang w:eastAsia="de-AT"/>
      </w:rPr>
      <w:drawing>
        <wp:anchor distT="0" distB="0" distL="114300" distR="114300" simplePos="0" relativeHeight="251664384" behindDoc="0" locked="0" layoutInCell="1" allowOverlap="1">
          <wp:simplePos x="0" y="0"/>
          <wp:positionH relativeFrom="column">
            <wp:posOffset>198120</wp:posOffset>
          </wp:positionH>
          <wp:positionV relativeFrom="paragraph">
            <wp:posOffset>-130810</wp:posOffset>
          </wp:positionV>
          <wp:extent cx="1109345" cy="296545"/>
          <wp:effectExtent l="19050" t="0" r="0" b="0"/>
          <wp:wrapThrough wrapText="bothSides">
            <wp:wrapPolygon edited="0">
              <wp:start x="-371" y="0"/>
              <wp:lineTo x="-371" y="20814"/>
              <wp:lineTo x="21513" y="20814"/>
              <wp:lineTo x="21513" y="0"/>
              <wp:lineTo x="-371" y="0"/>
            </wp:wrapPolygon>
          </wp:wrapThrough>
          <wp:docPr id="6" name="Bild 6" descr="Beschreibung: LA-PUBLIC:WORK_MOBIL:BMVIT:_Allg_CI_2013:diverse_Logos:bmvit_signet_v1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LA-PUBLIC:WORK_MOBIL:BMVIT:_Allg_CI_2013:diverse_Logos:bmvit_signet_v1ms.png"/>
                  <pic:cNvPicPr>
                    <a:picLocks noChangeAspect="1" noChangeArrowheads="1"/>
                  </pic:cNvPicPr>
                </pic:nvPicPr>
                <pic:blipFill>
                  <a:blip r:embed="rId1"/>
                  <a:srcRect/>
                  <a:stretch>
                    <a:fillRect/>
                  </a:stretch>
                </pic:blipFill>
                <pic:spPr bwMode="auto">
                  <a:xfrm>
                    <a:off x="0" y="0"/>
                    <a:ext cx="1109345" cy="296545"/>
                  </a:xfrm>
                  <a:prstGeom prst="rect">
                    <a:avLst/>
                  </a:prstGeom>
                  <a:noFill/>
                  <a:ln w="9525">
                    <a:noFill/>
                    <a:miter lim="800000"/>
                    <a:headEnd/>
                    <a:tailEnd/>
                  </a:ln>
                </pic:spPr>
              </pic:pic>
            </a:graphicData>
          </a:graphic>
        </wp:anchor>
      </w:drawing>
    </w:r>
    <w:r w:rsidRPr="006705C4">
      <w:rPr>
        <w:rFonts w:cs="Arial"/>
        <w:color w:val="0096BB"/>
        <w:spacing w:val="1"/>
        <w:sz w:val="18"/>
      </w:rPr>
      <w:t>Bundesministerium für Verkehr, Innovation und Technologie</w:t>
    </w:r>
  </w:p>
  <w:p w:rsidR="00100B73" w:rsidRDefault="00100B7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Pr="006705C4" w:rsidRDefault="00100B73" w:rsidP="00100B73">
    <w:pPr>
      <w:pStyle w:val="Fuzeile"/>
      <w:ind w:right="-567"/>
      <w:rPr>
        <w:rFonts w:cs="Arial"/>
        <w:color w:val="0096BB"/>
        <w:spacing w:val="1"/>
        <w:sz w:val="18"/>
      </w:rPr>
    </w:pPr>
  </w:p>
  <w:p w:rsidR="00100B73" w:rsidRDefault="00100B7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92" w:rsidRDefault="00157962" w:rsidP="00D42EAE">
    <w:pPr>
      <w:pStyle w:val="Fuzeile"/>
      <w:rPr>
        <w:rStyle w:val="Seitenzahl"/>
      </w:rPr>
    </w:pPr>
    <w:r>
      <w:rPr>
        <w:rStyle w:val="Seitenzahl"/>
      </w:rPr>
      <w:fldChar w:fldCharType="begin"/>
    </w:r>
    <w:r w:rsidR="003F4092">
      <w:rPr>
        <w:rStyle w:val="Seitenzahl"/>
      </w:rPr>
      <w:instrText xml:space="preserve">PAGE  </w:instrText>
    </w:r>
    <w:r>
      <w:rPr>
        <w:rStyle w:val="Seitenzahl"/>
      </w:rPr>
      <w:fldChar w:fldCharType="separate"/>
    </w:r>
    <w:r w:rsidR="003F4092">
      <w:rPr>
        <w:rStyle w:val="Seitenzahl"/>
        <w:noProof/>
      </w:rPr>
      <w:t>52</w:t>
    </w:r>
    <w:r>
      <w:rPr>
        <w:rStyle w:val="Seitenzahl"/>
      </w:rPr>
      <w:fldChar w:fldCharType="end"/>
    </w:r>
  </w:p>
  <w:p w:rsidR="003F4092" w:rsidRDefault="003F4092" w:rsidP="00D42EAE">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92" w:rsidRPr="00015EBB" w:rsidRDefault="00157962" w:rsidP="00015EBB">
    <w:pPr>
      <w:pStyle w:val="Fuzeile"/>
      <w:ind w:right="83"/>
      <w:rPr>
        <w:rStyle w:val="Seitenzahl"/>
        <w:sz w:val="12"/>
      </w:rPr>
    </w:pPr>
    <w:r w:rsidRPr="00015EBB">
      <w:rPr>
        <w:rStyle w:val="Seitenzahl"/>
        <w:sz w:val="12"/>
      </w:rPr>
      <w:fldChar w:fldCharType="begin"/>
    </w:r>
    <w:r w:rsidR="003F4092" w:rsidRPr="00015EBB">
      <w:rPr>
        <w:rStyle w:val="Seitenzahl"/>
        <w:sz w:val="12"/>
      </w:rPr>
      <w:instrText xml:space="preserve">PAGE  </w:instrText>
    </w:r>
    <w:r w:rsidRPr="00015EBB">
      <w:rPr>
        <w:rStyle w:val="Seitenzahl"/>
        <w:sz w:val="12"/>
      </w:rPr>
      <w:fldChar w:fldCharType="separate"/>
    </w:r>
    <w:r w:rsidR="006C3922">
      <w:rPr>
        <w:rStyle w:val="Seitenzahl"/>
        <w:noProof/>
        <w:sz w:val="12"/>
      </w:rPr>
      <w:t>3</w:t>
    </w:r>
    <w:r w:rsidRPr="00015EBB">
      <w:rPr>
        <w:rStyle w:val="Seitenzahl"/>
        <w:sz w:val="12"/>
      </w:rPr>
      <w:fldChar w:fldCharType="end"/>
    </w:r>
  </w:p>
  <w:p w:rsidR="003F4092" w:rsidRDefault="003F4092" w:rsidP="00D42EA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7FD" w:rsidRDefault="00EC27FD" w:rsidP="00D42EAE">
      <w:r>
        <w:separator/>
      </w:r>
    </w:p>
  </w:footnote>
  <w:footnote w:type="continuationSeparator" w:id="0">
    <w:p w:rsidR="00EC27FD" w:rsidRDefault="00EC27FD" w:rsidP="00D42EAE">
      <w:r>
        <w:continuationSeparator/>
      </w:r>
    </w:p>
  </w:footnote>
  <w:footnote w:id="1">
    <w:p w:rsidR="003F4092" w:rsidRPr="002B28A6" w:rsidRDefault="003F4092" w:rsidP="00D42EAE">
      <w:pPr>
        <w:pStyle w:val="Funotentext"/>
        <w:rPr>
          <w:lang w:val="de-DE"/>
        </w:rPr>
      </w:pPr>
      <w:r>
        <w:rPr>
          <w:rStyle w:val="Funotenzeichen"/>
        </w:rPr>
        <w:footnoteRef/>
      </w:r>
      <w:r>
        <w:t xml:space="preserve"> Für die innovationsfördernde öffentliche Beschaffung könnten auf der KomKlimA-Website ein eigener Bereich und / oder eigene Suchroutinen eingerichtet werden. Ein einfacher, erster Schritt könnte sein, dass die im Ausschreibungskriterium beschriebenen hochinnovativen Technologien mit einem „IÖB-Icon“ gekennzeichnet und über einen eigenen Button gefiltert werden können. Im Rahmen der </w:t>
      </w:r>
      <w:proofErr w:type="spellStart"/>
      <w:r>
        <w:t>Prä</w:t>
      </w:r>
      <w:proofErr w:type="spellEnd"/>
      <w:r>
        <w:t>-Tests des IÖB-Tools wurde die Liste der hochinnovativen Tec</w:t>
      </w:r>
      <w:r>
        <w:t>h</w:t>
      </w:r>
      <w:r>
        <w:t>nologien noch manuell aus der KomKlimA-Datenbank gefahren. Für eine spätere Verwendung, ist es allerdings wesentlich, dass die ausgewählten Technol</w:t>
      </w:r>
      <w:r>
        <w:t>o</w:t>
      </w:r>
      <w:r>
        <w:t>gien aktuell gehalten werden und sehr leicht auffindbar sind. Hierfür ist ein eigener Suchfilter essenziell.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Default="00100B73" w:rsidP="00100B73">
    <w:pPr>
      <w:pStyle w:val="Kopfzeile"/>
      <w:tabs>
        <w:tab w:val="clear" w:pos="9072"/>
        <w:tab w:val="right" w:pos="8364"/>
      </w:tabs>
    </w:pPr>
    <w:r>
      <w:rPr>
        <w:noProof/>
        <w:lang w:eastAsia="de-AT"/>
      </w:rPr>
      <w:drawing>
        <wp:anchor distT="0" distB="0" distL="114300" distR="114300" simplePos="0" relativeHeight="251661312" behindDoc="0" locked="0" layoutInCell="1" allowOverlap="1">
          <wp:simplePos x="0" y="0"/>
          <wp:positionH relativeFrom="column">
            <wp:posOffset>4099560</wp:posOffset>
          </wp:positionH>
          <wp:positionV relativeFrom="paragraph">
            <wp:posOffset>363855</wp:posOffset>
          </wp:positionV>
          <wp:extent cx="2014855" cy="200025"/>
          <wp:effectExtent l="19050" t="0" r="4445" b="0"/>
          <wp:wrapNone/>
          <wp:docPr id="4" name="Bild 4" descr="NW_logo_rot_G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_logo_rot_Gpf"/>
                  <pic:cNvPicPr>
                    <a:picLocks noChangeAspect="1" noChangeArrowheads="1"/>
                  </pic:cNvPicPr>
                </pic:nvPicPr>
                <pic:blipFill>
                  <a:blip r:embed="rId1"/>
                  <a:srcRect/>
                  <a:stretch>
                    <a:fillRect/>
                  </a:stretch>
                </pic:blipFill>
                <pic:spPr bwMode="auto">
                  <a:xfrm>
                    <a:off x="0" y="0"/>
                    <a:ext cx="2014855" cy="200025"/>
                  </a:xfrm>
                  <a:prstGeom prst="rect">
                    <a:avLst/>
                  </a:prstGeom>
                  <a:noFill/>
                  <a:ln w="9525">
                    <a:noFill/>
                    <a:miter lim="800000"/>
                    <a:headEnd/>
                    <a:tailEnd/>
                  </a:ln>
                </pic:spPr>
              </pic:pic>
            </a:graphicData>
          </a:graphic>
        </wp:anchor>
      </w:drawing>
    </w:r>
    <w:r w:rsidR="00157962">
      <w:rPr>
        <w:noProof/>
        <w:lang w:eastAsia="de-AT"/>
      </w:rPr>
      <w:pict>
        <v:line id="Gerade Verbindung 13" o:spid="_x0000_s109571" style="position:absolute;left:0;text-align:left;z-index:251660288;visibility:visible;mso-position-horizontal-relative:page;mso-position-vertical-relative:page" from="139.2pt,75.15pt" to="139.2pt,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4LCs4BAAADBAAADgAAAGRycy9lMm9Eb2MueG1srFNNb9wgEL1X6n9A3LO2k6aqrPXmkCi5VO2q&#10;X3cWBhuJLwFZe/99B+z1Rm2lqlUu2MC8N/PeDNu7yWhyhBCVsx1tNjUlYLkTyvYd/f7t8eoDJTEx&#10;K5h2Fjp6gkjvdm/fbEffwrUbnBYQCJLY2I6+o0NKvq2qyAcwLG6cB4uX0gXDEm5DX4nARmQ3urqu&#10;6/fV6ILwwXGIEU8f5ku6K/xSAk+fpYyQiO4o1pbKGsp6yGu127K2D8wPii9lsP+owjBlMelK9cAS&#10;I89B/UZlFA8uOpk23JnKSak4FA2opql/UfN1YB6KFjQn+tWm+Hq0/NNxH4gS2LsbSiwz2KMnCEwA&#10;+QHhoKx4tj3BOzRq9LHF+Hu7D8su+n3IqicZTP6iHjIVc0+ruTAlwudDjqfNzbvm9jbTVRecDzE9&#10;gTMk/3RUK5tls5YdP8Y0h55D8rG2eY1OK/GotC6bPDBwrwM5Mmz1oW+WFC+iMGFGVlnHXHn5SycN&#10;M+sXkGgF1tqU7GUIL5yMc7DpzKstRmeYxApWYP134BKfoVAG9F/AK6JkdjatYKOsC3/KnqZzyXKO&#10;Pzsw684WHJw4lZ4Wa3DSSnOWV5FH+eW+wC9vd/cTAAD//wMAUEsDBBQABgAIAAAAIQBC4I4i3gAA&#10;AAsBAAAPAAAAZHJzL2Rvd25yZXYueG1sTI/BTsMwEETvSPyDtUjcqNNQSJXGqaBVjxyaIsHRjbdx&#10;RLyOYrcJfD2LOMBxZ55mZ4r15DpxwSG0nhTMZwkIpNqblhoFr4fd3RJEiJqM7jyhgk8MsC6vrwqd&#10;Gz/SHi9VbASHUMi1Ahtjn0sZaotOh5nvkdg7+cHpyOfQSDPokcNdJ9MkeZROt8QfrO5xY7H+qM5O&#10;QbY5bL+e61TTdre3Y1r5t+zlXanbm+lpBSLiFP9g+KnP1aHkTkd/JhNEpyDNlgtG2XhI7kEw8asc&#10;WcnmC5BlIf9vKL8BAAD//wMAUEsBAi0AFAAGAAgAAAAhAOSZw8D7AAAA4QEAABMAAAAAAAAAAAAA&#10;AAAAAAAAAFtDb250ZW50X1R5cGVzXS54bWxQSwECLQAUAAYACAAAACEAI7Jq4dcAAACUAQAACwAA&#10;AAAAAAAAAAAAAAAsAQAAX3JlbHMvLnJlbHNQSwECLQAUAAYACAAAACEA9I4LCs4BAAADBAAADgAA&#10;AAAAAAAAAAAAAAAsAgAAZHJzL2Uyb0RvYy54bWxQSwECLQAUAAYACAAAACEAQuCOIt4AAAALAQAA&#10;DwAAAAAAAAAAAAAAAAAmBAAAZHJzL2Rvd25yZXYueG1sUEsFBgAAAAAEAAQA8wAAADEFAAAAAA==&#10;" strokecolor="#0096bb">
          <w10:wrap anchorx="page" anchory="page"/>
        </v:line>
      </w:pict>
    </w:r>
    <w:r w:rsidR="00157962">
      <w:rPr>
        <w:noProof/>
        <w:lang w:eastAsia="de-AT"/>
      </w:rPr>
      <w:pict>
        <v:line id="Gerade Verbindung 12" o:spid="_x0000_s109570" style="position:absolute;left:0;text-align:left;z-index:251659264;visibility:visible;mso-position-horizontal-relative:page;mso-position-vertical-relative:page" from="56.7pt,85.9pt" to="538.6pt,8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O87s8BAAAEBAAADgAAAGRycy9lMm9Eb2MueG1srFNNb9swDL0P2H8QdF9sZ0AxGHF6aNFeii3Y&#10;112RKFuAviCpsfPvR8mxU6wDhg290KbER/I9UrvbyWhyghCVsx1tNjUlYLkTyvYd/fH94cMnSmJi&#10;VjDtLHT0DJHe7t+/242+ha0bnBYQCCaxsR19R4eUfFtVkQ9gWNw4DxYvpQuGJXRDX4nARsxudLWt&#10;65tqdEH44DjEiKf38yXdl/xSAk9fpIyQiO4o9paKDcUes632O9b2gflB8Usb7D+6MExZLLqmumeJ&#10;keegXqUyigcXnUwb7kzlpFQcCgdk09S/sfk2MA+FC4oT/SpTfLu0/PPpEIgSOLstJZYZnNEjBCaA&#10;/IRwVFY8257gHQo1+thi/J09hIsX/SFk1pMMJn+RD5mKuOdVXJgS4Xh40yDDjzgDvtxVV6APMT2C&#10;MyT/dFQrm3mzlp2eYsJiGLqE5GNts41OK/GgtC5O3hi404GcGM762De5ZcS9iEIvI6tMZG69/KWz&#10;hjnrV5CoBTbblOplC685Gedg05JXW4zOMIkdrMD678BLfIZC2dB/Aa+IUtnZtIKNsi78qXqalpbl&#10;HL8oMPPOEhydOJehFmlw1Ypyl2eRd/mlX+DXx7v/BQAA//8DAFBLAwQUAAYACAAAACEAJBcnkd4A&#10;AAAMAQAADwAAAGRycy9kb3ducmV2LnhtbEyPQU/DMAyF70j8h8hI3FjagsjUNZ1g044c1iHB0WtC&#10;W9E4VZOthV+PJyHBzc9+ev5esZ5dL852DJ0nDekiAWGp9qajRsPrYXe3BBEiksHek9XwZQOsy+ur&#10;AnPjJ9rbcxUbwSEUctTQxjjkUoa6tQ7Dwg+W+PbhR4eR5dhIM+LE4a6XWZI8Socd8YcWB7tpbf1Z&#10;nZwGtTlsv5/rDGm727dTVvk39fKu9e3N/LQCEe0c/8xwwWd0KJnp6E9kguhZp/cPbOVBpdzh4kiU&#10;ykAcf1eyLOT/EuUPAAAA//8DAFBLAQItABQABgAIAAAAIQDkmcPA+wAAAOEBAAATAAAAAAAAAAAA&#10;AAAAAAAAAABbQ29udGVudF9UeXBlc10ueG1sUEsBAi0AFAAGAAgAAAAhACOyauHXAAAAlAEAAAsA&#10;AAAAAAAAAAAAAAAALAEAAF9yZWxzLy5yZWxzUEsBAi0AFAAGAAgAAAAhAI8zvO7PAQAABAQAAA4A&#10;AAAAAAAAAAAAAAAALAIAAGRycy9lMm9Eb2MueG1sUEsBAi0AFAAGAAgAAAAhACQXJ5HeAAAADAEA&#10;AA8AAAAAAAAAAAAAAAAAJwQAAGRycy9kb3ducmV2LnhtbFBLBQYAAAAABAAEAPMAAAAyBQAAAAA=&#10;" strokecolor="#0096bb">
          <w10:wrap anchorx="page" anchory="page"/>
        </v:line>
      </w:pict>
    </w:r>
    <w:r w:rsidR="00157962">
      <w:rPr>
        <w:noProof/>
        <w:lang w:eastAsia="de-AT"/>
      </w:rPr>
      <w:pict>
        <v:shape id="Rechteck 10" o:spid="_x0000_s109569" style="position:absolute;left:0;text-align:left;margin-left:30.9pt;margin-top:30.9pt;width:532.9pt;height:77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768000,98836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nhdwYEAACbCwAADgAAAGRycy9lMm9Eb2MueG1srFbbjts2EH0v0H8g9FjAK8mWdTHWGwT2OiiQ&#10;tEHjfgBNUZYQSVRI+rIt8u+doS6hXMi7KOoHWRKPDmfOIYfz+O5aleTMpSpEvXb8B88hvGYiLerj&#10;2vlzv5vFDlGa1iktRc3XzgtXzrunn396vDQrPhe5KFMuCZDUanVp1k6udbNyXcVyXlH1IBpew2Am&#10;ZEU1PMqjm0p6AfaqdOeeF7oXIdNGCsaVgrfbdtB5MvxZxpn+PcsU16RcOxCbNldprge8uk+PdHWU&#10;tMkL1oVB/0MUFS1qmHSg2lJNyUkW/6KqCiaFEpl+YKJyRZYVjJscIBvfu8nmS04bbnIBcVQzyKT+&#10;P1r22/mzJEUK3jmkphVY9AdnuebsK/GNPJdGrQD1pfksMUHVfBTsqwLd3NEIPijAkMPlk0iBhp60&#10;MJJcM1nhl5AsuRrlXwbl+VUTBi/DKIziBRjEYCyJYz+OzOQuXfWfs5PSH7gwVPT8UenWuhTujPBp&#10;F/4eWLKqBBd/cYlHLgS4Y8/rrR5gkK8FywnMugiTuFsRA2xuwboopzkXFtgjk5yBBXuVc2mBkyAM&#10;50EyzRxa4KXvLQA7KUBkYYHYn8/DaWLYxpZak5yJBetsnOaE9fUmUt+26lUJfNuxe/6/0Szfdssj&#10;ISwluC6Xi/B2qfi2VfeRtk/3kbZL95Fji+7Fabt0l3M+duiGEzbnsd9+NO93JLvW3ZaEO0LxHNiD&#10;hrhHG6GwAuAOhW2+91FAIAEcjlrw5QgOhiJ8MQkPR3DwC+HLSXg0goMVCI8m4fEIDiojPJmEJyM4&#10;rnHEwxqeSBY0trXB5Ws+GKXbqtTpKuFUuz3PpEPgPDvgJKAz1WhHf0supsCaIkhyU19NpcPxSpz5&#10;XhikvqnOMOeP0bK2UX1JxUj7Ot0j+v/G8NlI2Lp9IQbuHtf/t3gsWmErAcDnSWR22SS8Vdcq3a8h&#10;3xBCy3mbFiuF4q2FKK9ZuIPOMKt9PNViV5SlsaKsUf0ohF7F2KxEWaQ4ipKbLodvSknOFPqTw9E3&#10;mPJUwRHavvOx3HRnF7yHZqZ934c3UJiARuxVoaG1Kotq7aDsPUvOafpcpyY6TYuyvTe6YUxwIndL&#10;B89m08L8nXjJc/wcB7NgHj7PAi9NZ+93m2AW7vxouV1sN5ut/x1D94NVXqQprzHDvp3yg7e1K11j&#10;1zZCQ0M1SknJ42GQa2d+3bayYO44DCMM5NL/m+xM74LtCjaKanUQ6Qu0LlK0/SH0s3CTC/mXQy7Q&#10;G64d9e1EJXdI+WsNzVfiBwGsEm0egmWEZVLaIwd7hNYMqNYO07BJ24eNblvQUyOLYw5ztcbX4j00&#10;TVmBrY2JsI2re4AO0OTQdavYYtrPBvWjp376BwAA//8DAFBLAwQUAAYACAAAACEAHtHGfNwAAAAL&#10;AQAADwAAAGRycy9kb3ducmV2LnhtbEyPwU7DMAyG70i8Q2QkbiztDgWVplMF48JhGgUhjl5r2rLG&#10;qZJsK2+PJyHBybY+6/fnYjXbUR3Jh8GxgXSRgCJuXDtwZ+Dt9enmDlSIyC2OjsnANwVYlZcXBeat&#10;O/ELHevYKQnhkKOBPsYp1zo0PVkMCzcRC/t03mKU0Xe69XiScDvqZZJk2uLAcqHHiR56avb1wRrY&#10;aNw80/qx8vuPuvoK62rr37fGXF/N1T2oSHP8W4azvqhDKU47d+A2qNFAlop5/K1nni5vM1A76QQl&#10;oMtC//+h/AEAAP//AwBQSwECLQAUAAYACAAAACEA5JnDwPsAAADhAQAAEwAAAAAAAAAAAAAAAAAA&#10;AAAAW0NvbnRlbnRfVHlwZXNdLnhtbFBLAQItABQABgAIAAAAIQAjsmrh1wAAAJQBAAALAAAAAAAA&#10;AAAAAAAAACwBAABfcmVscy8ucmVsc1BLAQItABQABgAIAAAAIQAqyeF3BgQAAJsLAAAOAAAAAAAA&#10;AAAAAAAAACwCAABkcnMvZTJvRG9jLnhtbFBLAQItABQABgAIAAAAIQAe0cZ83AAAAAsBAAAPAAAA&#10;AAAAAAAAAAAAAF4GAABkcnMvZG93bnJldi54bWxQSwUGAAAAAAQABADzAAAAZwcAAAAA&#10;" path="m,l6768000,r,9468000l510362,9462976,,9883698,,9468000,,xe" filled="f" fillcolor="#d8d8d8" strokecolor="#0096bb" strokeweight="6pt">
          <v:stroke joinstyle="miter"/>
          <v:path arrowok="t" o:connecttype="custom" o:connectlocs="0,0;6767660,0;6767660,9464498;510336,9459476;0,9880042;0,9464498;0,0" o:connectangles="0,0,0,0,0,0,0"/>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Default="00100B7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92" w:rsidRPr="00F11A36" w:rsidRDefault="003F4092" w:rsidP="00015EBB">
    <w:pPr>
      <w:pStyle w:val="Kopfzeile"/>
      <w:ind w:right="-59"/>
      <w:jc w:val="left"/>
      <w:rPr>
        <w:lang w:val="de-D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single" w:sz="4" w:space="0" w:color="7B7C7E"/>
        <w:right w:val="none" w:sz="0" w:space="0" w:color="auto"/>
        <w:insideH w:val="single" w:sz="4" w:space="0" w:color="7B7C7E"/>
        <w:insideV w:val="single" w:sz="4" w:space="0" w:color="7B7C7E"/>
      </w:tblBorders>
      <w:tblLayout w:type="fixed"/>
      <w:tblLook w:val="04A0"/>
    </w:tblPr>
    <w:tblGrid>
      <w:gridCol w:w="2381"/>
      <w:gridCol w:w="7400"/>
    </w:tblGrid>
    <w:tr w:rsidR="00D00244" w:rsidTr="00D00244">
      <w:trPr>
        <w:trHeight w:val="70"/>
      </w:trPr>
      <w:tc>
        <w:tcPr>
          <w:tcW w:w="2381" w:type="dxa"/>
        </w:tcPr>
        <w:p w:rsidR="00D00244" w:rsidRDefault="00D00244" w:rsidP="00015EBB">
          <w:pPr>
            <w:pStyle w:val="Kopfzeile"/>
            <w:spacing w:after="0"/>
            <w:ind w:right="0"/>
            <w:jc w:val="left"/>
            <w:rPr>
              <w:lang w:val="de-DE"/>
            </w:rPr>
          </w:pPr>
        </w:p>
      </w:tc>
      <w:tc>
        <w:tcPr>
          <w:tcW w:w="7400" w:type="dxa"/>
        </w:tcPr>
        <w:p w:rsidR="00D00244" w:rsidRDefault="00D00244" w:rsidP="00015EBB">
          <w:pPr>
            <w:pStyle w:val="Kopfzeile"/>
            <w:spacing w:after="0"/>
            <w:ind w:right="0"/>
            <w:rPr>
              <w:lang w:val="de-DE"/>
            </w:rPr>
          </w:pPr>
          <w:r>
            <w:rPr>
              <w:lang w:val="de-DE"/>
            </w:rPr>
            <w:t xml:space="preserve">IÖB-Tool – Innovationskriterien für </w:t>
          </w:r>
          <w:proofErr w:type="spellStart"/>
          <w:r>
            <w:rPr>
              <w:lang w:val="de-DE"/>
            </w:rPr>
            <w:t>N.Check</w:t>
          </w:r>
          <w:proofErr w:type="spellEnd"/>
          <w:r>
            <w:rPr>
              <w:lang w:val="de-DE"/>
            </w:rPr>
            <w:t>-Einkauf</w:t>
          </w:r>
        </w:p>
      </w:tc>
    </w:tr>
  </w:tbl>
  <w:p w:rsidR="00D00244" w:rsidRPr="00F11A36" w:rsidRDefault="00D00244" w:rsidP="00015EBB">
    <w:pPr>
      <w:pStyle w:val="Kopfzeile"/>
      <w:ind w:right="-59"/>
      <w:jc w:val="left"/>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6B2"/>
    <w:multiLevelType w:val="hybridMultilevel"/>
    <w:tmpl w:val="D3FA9B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7A369B"/>
    <w:multiLevelType w:val="hybridMultilevel"/>
    <w:tmpl w:val="37CA9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80E3F44"/>
    <w:multiLevelType w:val="hybridMultilevel"/>
    <w:tmpl w:val="A9327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E800642"/>
    <w:multiLevelType w:val="hybridMultilevel"/>
    <w:tmpl w:val="66DA5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552104"/>
    <w:multiLevelType w:val="hybridMultilevel"/>
    <w:tmpl w:val="983832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664ED9"/>
    <w:multiLevelType w:val="hybridMultilevel"/>
    <w:tmpl w:val="608EB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FC783D"/>
    <w:multiLevelType w:val="hybridMultilevel"/>
    <w:tmpl w:val="23444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95725F0"/>
    <w:multiLevelType w:val="hybridMultilevel"/>
    <w:tmpl w:val="B4546EC2"/>
    <w:lvl w:ilvl="0" w:tplc="998E5E94">
      <w:start w:val="1"/>
      <w:numFmt w:val="bullet"/>
      <w:pStyle w:val="FormatvorlageAufgezhlt"/>
      <w:lvlText w:val=""/>
      <w:lvlJc w:val="left"/>
      <w:pPr>
        <w:tabs>
          <w:tab w:val="num" w:pos="720"/>
        </w:tabs>
        <w:ind w:left="720" w:hanging="360"/>
      </w:pPr>
      <w:rPr>
        <w:rFonts w:ascii="Symbol" w:hAnsi="Symbol" w:hint="default"/>
      </w:rPr>
    </w:lvl>
    <w:lvl w:ilvl="1" w:tplc="89F87996">
      <w:start w:val="1"/>
      <w:numFmt w:val="decimal"/>
      <w:pStyle w:val="FormatvorlageAufgezhlt1"/>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764B83"/>
    <w:multiLevelType w:val="multilevel"/>
    <w:tmpl w:val="3D0E95D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51"/>
        </w:tabs>
        <w:ind w:left="851" w:hanging="851"/>
      </w:pPr>
      <w:rPr>
        <w:rFonts w:hint="default"/>
        <w:lang w:val="de-DE"/>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nsid w:val="3497414A"/>
    <w:multiLevelType w:val="hybridMultilevel"/>
    <w:tmpl w:val="E0BC3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DE95E64"/>
    <w:multiLevelType w:val="hybridMultilevel"/>
    <w:tmpl w:val="C2D29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26C6901"/>
    <w:multiLevelType w:val="hybridMultilevel"/>
    <w:tmpl w:val="5BB0D26E"/>
    <w:lvl w:ilvl="0" w:tplc="2590702A">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6031F90"/>
    <w:multiLevelType w:val="hybridMultilevel"/>
    <w:tmpl w:val="5CDE04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7222013"/>
    <w:multiLevelType w:val="hybridMultilevel"/>
    <w:tmpl w:val="5E14B6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78160C9"/>
    <w:multiLevelType w:val="hybridMultilevel"/>
    <w:tmpl w:val="A41C4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D434A11"/>
    <w:multiLevelType w:val="hybridMultilevel"/>
    <w:tmpl w:val="4B661C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95E3B0E"/>
    <w:multiLevelType w:val="hybridMultilevel"/>
    <w:tmpl w:val="6E343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B035E1D"/>
    <w:multiLevelType w:val="multilevel"/>
    <w:tmpl w:val="939AE39A"/>
    <w:styleLink w:val="ListeZusammenfassung"/>
    <w:lvl w:ilvl="0">
      <w:start w:val="1"/>
      <w:numFmt w:val="decimal"/>
      <w:pStyle w:val="Gliederung1Zusammenfassung"/>
      <w:suff w:val="space"/>
      <w:lvlText w:val="%1."/>
      <w:lvlJc w:val="left"/>
      <w:pPr>
        <w:ind w:left="0" w:firstLine="0"/>
      </w:pPr>
      <w:rPr>
        <w:rFonts w:hint="default"/>
      </w:rPr>
    </w:lvl>
    <w:lvl w:ilvl="1">
      <w:start w:val="1"/>
      <w:numFmt w:val="decimal"/>
      <w:pStyle w:val="Gliederung2Zusammenfassu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C3D6107"/>
    <w:multiLevelType w:val="hybridMultilevel"/>
    <w:tmpl w:val="10C0D2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CC0744B"/>
    <w:multiLevelType w:val="hybridMultilevel"/>
    <w:tmpl w:val="F63E4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DB04916"/>
    <w:multiLevelType w:val="hybridMultilevel"/>
    <w:tmpl w:val="31423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1EE0154"/>
    <w:multiLevelType w:val="hybridMultilevel"/>
    <w:tmpl w:val="53D8F1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78A47C0"/>
    <w:multiLevelType w:val="hybridMultilevel"/>
    <w:tmpl w:val="BA9EBF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7CB04D7"/>
    <w:multiLevelType w:val="multilevel"/>
    <w:tmpl w:val="3F68E9A4"/>
    <w:styleLink w:val="Gliederung"/>
    <w:lvl w:ilvl="0">
      <w:start w:val="1"/>
      <w:numFmt w:val="upperRoman"/>
      <w:pStyle w:val="Kapitelberschrift"/>
      <w:suff w:val="space"/>
      <w:lvlText w:val="%1."/>
      <w:lvlJc w:val="left"/>
      <w:pPr>
        <w:ind w:left="850" w:firstLine="0"/>
      </w:pPr>
      <w:rPr>
        <w:rFonts w:hint="default"/>
      </w:rPr>
    </w:lvl>
    <w:lvl w:ilvl="1">
      <w:start w:val="1"/>
      <w:numFmt w:val="decimal"/>
      <w:pStyle w:val="berschrift1"/>
      <w:suff w:val="space"/>
      <w:lvlText w:val="%2."/>
      <w:lvlJc w:val="left"/>
      <w:pPr>
        <w:ind w:left="850" w:firstLine="0"/>
      </w:pPr>
      <w:rPr>
        <w:rFonts w:hint="default"/>
      </w:rPr>
    </w:lvl>
    <w:lvl w:ilvl="2">
      <w:start w:val="1"/>
      <w:numFmt w:val="decimal"/>
      <w:pStyle w:val="berschrift2"/>
      <w:suff w:val="space"/>
      <w:lvlText w:val="%2.%3"/>
      <w:lvlJc w:val="left"/>
      <w:pPr>
        <w:ind w:left="850" w:firstLine="0"/>
      </w:pPr>
      <w:rPr>
        <w:rFonts w:hint="default"/>
      </w:rPr>
    </w:lvl>
    <w:lvl w:ilvl="3">
      <w:start w:val="1"/>
      <w:numFmt w:val="decimal"/>
      <w:pStyle w:val="berschrift3"/>
      <w:suff w:val="space"/>
      <w:lvlText w:val="%2.%3.%4"/>
      <w:lvlJc w:val="left"/>
      <w:pPr>
        <w:ind w:left="850" w:firstLine="0"/>
      </w:pPr>
      <w:rPr>
        <w:rFonts w:hint="default"/>
      </w:rPr>
    </w:lvl>
    <w:lvl w:ilvl="4">
      <w:start w:val="1"/>
      <w:numFmt w:val="decimal"/>
      <w:pStyle w:val="berschrift4"/>
      <w:suff w:val="space"/>
      <w:lvlText w:val="%2.%3.%4.%5"/>
      <w:lvlJc w:val="left"/>
      <w:pPr>
        <w:ind w:left="85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24">
    <w:nsid w:val="79DF35FC"/>
    <w:multiLevelType w:val="hybridMultilevel"/>
    <w:tmpl w:val="81E6C3DA"/>
    <w:lvl w:ilvl="0" w:tplc="17E28832">
      <w:start w:val="1"/>
      <w:numFmt w:val="bullet"/>
      <w:pStyle w:val="RahmenAufzhlung"/>
      <w:lvlText w:val="-"/>
      <w:lvlJc w:val="left"/>
      <w:pPr>
        <w:ind w:left="720" w:hanging="360"/>
      </w:pPr>
      <w:rPr>
        <w:rFonts w:ascii="Rotis Sans Serif Pro" w:hAnsi="Rotis Sans Serif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A306F5"/>
    <w:multiLevelType w:val="hybridMultilevel"/>
    <w:tmpl w:val="356A8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
  </w:num>
  <w:num w:numId="6">
    <w:abstractNumId w:val="22"/>
  </w:num>
  <w:num w:numId="7">
    <w:abstractNumId w:val="14"/>
  </w:num>
  <w:num w:numId="8">
    <w:abstractNumId w:val="4"/>
  </w:num>
  <w:num w:numId="9">
    <w:abstractNumId w:val="0"/>
  </w:num>
  <w:num w:numId="10">
    <w:abstractNumId w:val="10"/>
  </w:num>
  <w:num w:numId="11">
    <w:abstractNumId w:val="18"/>
  </w:num>
  <w:num w:numId="12">
    <w:abstractNumId w:val="25"/>
  </w:num>
  <w:num w:numId="13">
    <w:abstractNumId w:val="3"/>
  </w:num>
  <w:num w:numId="14">
    <w:abstractNumId w:val="2"/>
  </w:num>
  <w:num w:numId="15">
    <w:abstractNumId w:val="9"/>
  </w:num>
  <w:num w:numId="16">
    <w:abstractNumId w:val="12"/>
  </w:num>
  <w:num w:numId="17">
    <w:abstractNumId w:val="21"/>
  </w:num>
  <w:num w:numId="18">
    <w:abstractNumId w:val="20"/>
  </w:num>
  <w:num w:numId="19">
    <w:abstractNumId w:val="13"/>
  </w:num>
  <w:num w:numId="20">
    <w:abstractNumId w:val="15"/>
  </w:num>
  <w:num w:numId="21">
    <w:abstractNumId w:val="5"/>
  </w:num>
  <w:num w:numId="22">
    <w:abstractNumId w:val="19"/>
  </w:num>
  <w:num w:numId="23">
    <w:abstractNumId w:val="16"/>
  </w:num>
  <w:num w:numId="24">
    <w:abstractNumId w:val="24"/>
  </w:num>
  <w:num w:numId="25">
    <w:abstractNumId w:val="24"/>
  </w:num>
  <w:num w:numId="26">
    <w:abstractNumId w:val="23"/>
  </w:num>
  <w:num w:numId="27">
    <w:abstractNumId w:val="17"/>
  </w:num>
  <w:num w:numId="28">
    <w:abstractNumId w:val="17"/>
  </w:num>
  <w:num w:numId="29">
    <w:abstractNumId w:val="23"/>
  </w:num>
  <w:num w:numId="30">
    <w:abstractNumId w:val="17"/>
  </w:num>
  <w:num w:numId="31">
    <w:abstractNumId w:val="23"/>
  </w:num>
  <w:num w:numId="32">
    <w:abstractNumId w:val="23"/>
  </w:num>
  <w:num w:numId="33">
    <w:abstractNumId w:val="23"/>
  </w:num>
  <w:num w:numId="34">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401"/>
  <w:defaultTabStop w:val="708"/>
  <w:autoHyphenation/>
  <w:hyphenationZone w:val="425"/>
  <w:characterSpacingControl w:val="doNotCompress"/>
  <w:hdrShapeDefaults>
    <o:shapedefaults v:ext="edit" spidmax="114690"/>
    <o:shapelayout v:ext="edit">
      <o:idmap v:ext="edit" data="107"/>
    </o:shapelayout>
  </w:hdrShapeDefaults>
  <w:footnotePr>
    <w:footnote w:id="-1"/>
    <w:footnote w:id="0"/>
  </w:footnotePr>
  <w:endnotePr>
    <w:endnote w:id="-1"/>
    <w:endnote w:id="0"/>
  </w:endnotePr>
  <w:compat/>
  <w:rsids>
    <w:rsidRoot w:val="00BA32A0"/>
    <w:rsid w:val="00002092"/>
    <w:rsid w:val="00002C66"/>
    <w:rsid w:val="00013FF1"/>
    <w:rsid w:val="00014F78"/>
    <w:rsid w:val="00015EBB"/>
    <w:rsid w:val="00037330"/>
    <w:rsid w:val="0003751E"/>
    <w:rsid w:val="00043632"/>
    <w:rsid w:val="00057F08"/>
    <w:rsid w:val="000611A9"/>
    <w:rsid w:val="0006604D"/>
    <w:rsid w:val="000671A5"/>
    <w:rsid w:val="00070AC7"/>
    <w:rsid w:val="00071573"/>
    <w:rsid w:val="00074D33"/>
    <w:rsid w:val="00087079"/>
    <w:rsid w:val="00087934"/>
    <w:rsid w:val="000A6B0C"/>
    <w:rsid w:val="000B0ED9"/>
    <w:rsid w:val="000B25EC"/>
    <w:rsid w:val="000B7D63"/>
    <w:rsid w:val="000C163C"/>
    <w:rsid w:val="000C33D7"/>
    <w:rsid w:val="000D38DC"/>
    <w:rsid w:val="000E11CA"/>
    <w:rsid w:val="000E356A"/>
    <w:rsid w:val="000E3D24"/>
    <w:rsid w:val="000E64B5"/>
    <w:rsid w:val="000E6789"/>
    <w:rsid w:val="000F0139"/>
    <w:rsid w:val="000F4FF6"/>
    <w:rsid w:val="000F6304"/>
    <w:rsid w:val="000F642E"/>
    <w:rsid w:val="00100B73"/>
    <w:rsid w:val="0010333B"/>
    <w:rsid w:val="00103D2D"/>
    <w:rsid w:val="00104235"/>
    <w:rsid w:val="001108BF"/>
    <w:rsid w:val="0011304F"/>
    <w:rsid w:val="00126123"/>
    <w:rsid w:val="00127B2A"/>
    <w:rsid w:val="00127F09"/>
    <w:rsid w:val="00130CCC"/>
    <w:rsid w:val="001326AC"/>
    <w:rsid w:val="00142404"/>
    <w:rsid w:val="00157449"/>
    <w:rsid w:val="00157962"/>
    <w:rsid w:val="001627CD"/>
    <w:rsid w:val="0016311C"/>
    <w:rsid w:val="0016771E"/>
    <w:rsid w:val="00173E1A"/>
    <w:rsid w:val="0017686A"/>
    <w:rsid w:val="0018417E"/>
    <w:rsid w:val="001857F6"/>
    <w:rsid w:val="00185BD3"/>
    <w:rsid w:val="00187EAC"/>
    <w:rsid w:val="00190C11"/>
    <w:rsid w:val="0019441D"/>
    <w:rsid w:val="00197C31"/>
    <w:rsid w:val="001A461E"/>
    <w:rsid w:val="001A5E3C"/>
    <w:rsid w:val="001B599A"/>
    <w:rsid w:val="001C31FC"/>
    <w:rsid w:val="001C3A61"/>
    <w:rsid w:val="001C4C5D"/>
    <w:rsid w:val="001C6FDE"/>
    <w:rsid w:val="001D33DF"/>
    <w:rsid w:val="001E7EAA"/>
    <w:rsid w:val="001F1AD1"/>
    <w:rsid w:val="002116C5"/>
    <w:rsid w:val="002121B9"/>
    <w:rsid w:val="00230F52"/>
    <w:rsid w:val="00232992"/>
    <w:rsid w:val="00234FC2"/>
    <w:rsid w:val="0023508C"/>
    <w:rsid w:val="002435C5"/>
    <w:rsid w:val="00261125"/>
    <w:rsid w:val="00271E3C"/>
    <w:rsid w:val="00275536"/>
    <w:rsid w:val="0027667A"/>
    <w:rsid w:val="00283C6E"/>
    <w:rsid w:val="002846D9"/>
    <w:rsid w:val="0028767E"/>
    <w:rsid w:val="00287FE0"/>
    <w:rsid w:val="00290F16"/>
    <w:rsid w:val="00292D86"/>
    <w:rsid w:val="00293FE5"/>
    <w:rsid w:val="002A418B"/>
    <w:rsid w:val="002B1E9E"/>
    <w:rsid w:val="002B28A6"/>
    <w:rsid w:val="002B3F7F"/>
    <w:rsid w:val="002C36E1"/>
    <w:rsid w:val="002C6D86"/>
    <w:rsid w:val="002C77D1"/>
    <w:rsid w:val="002C7D14"/>
    <w:rsid w:val="002C7D44"/>
    <w:rsid w:val="002D042E"/>
    <w:rsid w:val="002D04A3"/>
    <w:rsid w:val="002D3591"/>
    <w:rsid w:val="002E047E"/>
    <w:rsid w:val="002E332E"/>
    <w:rsid w:val="002E40DA"/>
    <w:rsid w:val="002E59AD"/>
    <w:rsid w:val="002E5C2F"/>
    <w:rsid w:val="00307914"/>
    <w:rsid w:val="00311EC0"/>
    <w:rsid w:val="00326849"/>
    <w:rsid w:val="00327F6E"/>
    <w:rsid w:val="00340EA2"/>
    <w:rsid w:val="00342713"/>
    <w:rsid w:val="00343D31"/>
    <w:rsid w:val="0034611F"/>
    <w:rsid w:val="003517DD"/>
    <w:rsid w:val="00360239"/>
    <w:rsid w:val="00361949"/>
    <w:rsid w:val="003655DB"/>
    <w:rsid w:val="00366B0C"/>
    <w:rsid w:val="003779B8"/>
    <w:rsid w:val="00380CA0"/>
    <w:rsid w:val="00382C31"/>
    <w:rsid w:val="00383847"/>
    <w:rsid w:val="003840CF"/>
    <w:rsid w:val="003A182A"/>
    <w:rsid w:val="003A3D9F"/>
    <w:rsid w:val="003A42AA"/>
    <w:rsid w:val="003A4C08"/>
    <w:rsid w:val="003A5E3D"/>
    <w:rsid w:val="003B0FC9"/>
    <w:rsid w:val="003B386D"/>
    <w:rsid w:val="003B4775"/>
    <w:rsid w:val="003B47E7"/>
    <w:rsid w:val="003B710F"/>
    <w:rsid w:val="003C4938"/>
    <w:rsid w:val="003C52D4"/>
    <w:rsid w:val="003C751C"/>
    <w:rsid w:val="003D177A"/>
    <w:rsid w:val="003D7A27"/>
    <w:rsid w:val="003D7AA2"/>
    <w:rsid w:val="003E11BB"/>
    <w:rsid w:val="003F15E3"/>
    <w:rsid w:val="003F4092"/>
    <w:rsid w:val="003F4486"/>
    <w:rsid w:val="003F5694"/>
    <w:rsid w:val="003F5AE8"/>
    <w:rsid w:val="003F7719"/>
    <w:rsid w:val="00402219"/>
    <w:rsid w:val="00403059"/>
    <w:rsid w:val="00412BA1"/>
    <w:rsid w:val="004131EC"/>
    <w:rsid w:val="004158D1"/>
    <w:rsid w:val="00416A10"/>
    <w:rsid w:val="004251F3"/>
    <w:rsid w:val="004278B2"/>
    <w:rsid w:val="00443A6A"/>
    <w:rsid w:val="00446E3F"/>
    <w:rsid w:val="00452E0E"/>
    <w:rsid w:val="00460FF2"/>
    <w:rsid w:val="00474D1E"/>
    <w:rsid w:val="004754D5"/>
    <w:rsid w:val="00484C68"/>
    <w:rsid w:val="0049248E"/>
    <w:rsid w:val="004971F9"/>
    <w:rsid w:val="004A0433"/>
    <w:rsid w:val="004A0D81"/>
    <w:rsid w:val="004A1A82"/>
    <w:rsid w:val="004A2964"/>
    <w:rsid w:val="004A5E3C"/>
    <w:rsid w:val="004A63DE"/>
    <w:rsid w:val="004B0F46"/>
    <w:rsid w:val="004B13FE"/>
    <w:rsid w:val="004B4209"/>
    <w:rsid w:val="004C06DC"/>
    <w:rsid w:val="004C2869"/>
    <w:rsid w:val="004C4918"/>
    <w:rsid w:val="004D09C6"/>
    <w:rsid w:val="004D2C1E"/>
    <w:rsid w:val="004F0AB9"/>
    <w:rsid w:val="004F37C4"/>
    <w:rsid w:val="004F5226"/>
    <w:rsid w:val="00507688"/>
    <w:rsid w:val="00516342"/>
    <w:rsid w:val="005174DD"/>
    <w:rsid w:val="00520969"/>
    <w:rsid w:val="005246AD"/>
    <w:rsid w:val="0052701F"/>
    <w:rsid w:val="005318F2"/>
    <w:rsid w:val="0054695E"/>
    <w:rsid w:val="00554020"/>
    <w:rsid w:val="00562BD7"/>
    <w:rsid w:val="005651C7"/>
    <w:rsid w:val="00571111"/>
    <w:rsid w:val="0057220E"/>
    <w:rsid w:val="0057235A"/>
    <w:rsid w:val="0057680A"/>
    <w:rsid w:val="005776C8"/>
    <w:rsid w:val="00580EC3"/>
    <w:rsid w:val="00585354"/>
    <w:rsid w:val="00587381"/>
    <w:rsid w:val="00590672"/>
    <w:rsid w:val="00592486"/>
    <w:rsid w:val="005B29FC"/>
    <w:rsid w:val="005B7E4B"/>
    <w:rsid w:val="005B7F88"/>
    <w:rsid w:val="005D7F3C"/>
    <w:rsid w:val="005E1907"/>
    <w:rsid w:val="005E7ECA"/>
    <w:rsid w:val="005F1297"/>
    <w:rsid w:val="005F287C"/>
    <w:rsid w:val="005F3184"/>
    <w:rsid w:val="005F44F4"/>
    <w:rsid w:val="005F4CE7"/>
    <w:rsid w:val="005F5D76"/>
    <w:rsid w:val="005F79F8"/>
    <w:rsid w:val="0060727D"/>
    <w:rsid w:val="00612576"/>
    <w:rsid w:val="0061267D"/>
    <w:rsid w:val="00613D55"/>
    <w:rsid w:val="00613F0B"/>
    <w:rsid w:val="0061469F"/>
    <w:rsid w:val="00632A04"/>
    <w:rsid w:val="00635152"/>
    <w:rsid w:val="00640335"/>
    <w:rsid w:val="00650012"/>
    <w:rsid w:val="00656E8B"/>
    <w:rsid w:val="00661F4E"/>
    <w:rsid w:val="00662A82"/>
    <w:rsid w:val="00671B26"/>
    <w:rsid w:val="00685C02"/>
    <w:rsid w:val="006A5D8E"/>
    <w:rsid w:val="006A6DC3"/>
    <w:rsid w:val="006B7D8F"/>
    <w:rsid w:val="006C01C8"/>
    <w:rsid w:val="006C3922"/>
    <w:rsid w:val="006E463B"/>
    <w:rsid w:val="006F0F8F"/>
    <w:rsid w:val="006F4CFF"/>
    <w:rsid w:val="0070768E"/>
    <w:rsid w:val="00710060"/>
    <w:rsid w:val="007113F9"/>
    <w:rsid w:val="00712D9B"/>
    <w:rsid w:val="00716363"/>
    <w:rsid w:val="007257A3"/>
    <w:rsid w:val="00727208"/>
    <w:rsid w:val="007439DF"/>
    <w:rsid w:val="00765327"/>
    <w:rsid w:val="007739A2"/>
    <w:rsid w:val="00773AF9"/>
    <w:rsid w:val="00775D09"/>
    <w:rsid w:val="007835BA"/>
    <w:rsid w:val="00794083"/>
    <w:rsid w:val="0079538B"/>
    <w:rsid w:val="007B29DD"/>
    <w:rsid w:val="007B74C7"/>
    <w:rsid w:val="007C157A"/>
    <w:rsid w:val="007C31CA"/>
    <w:rsid w:val="007C4668"/>
    <w:rsid w:val="007D62DF"/>
    <w:rsid w:val="007E3771"/>
    <w:rsid w:val="007F21F8"/>
    <w:rsid w:val="007F222C"/>
    <w:rsid w:val="0080237E"/>
    <w:rsid w:val="008028E4"/>
    <w:rsid w:val="00802BC6"/>
    <w:rsid w:val="00806227"/>
    <w:rsid w:val="00813BA1"/>
    <w:rsid w:val="008154C4"/>
    <w:rsid w:val="00820185"/>
    <w:rsid w:val="00821D01"/>
    <w:rsid w:val="00824F9B"/>
    <w:rsid w:val="00827A5C"/>
    <w:rsid w:val="00831C8C"/>
    <w:rsid w:val="0084161B"/>
    <w:rsid w:val="008543F6"/>
    <w:rsid w:val="00864BE3"/>
    <w:rsid w:val="008666A8"/>
    <w:rsid w:val="00866B8C"/>
    <w:rsid w:val="00867D5E"/>
    <w:rsid w:val="00870C40"/>
    <w:rsid w:val="008717DC"/>
    <w:rsid w:val="00873D22"/>
    <w:rsid w:val="00876C08"/>
    <w:rsid w:val="00877CE0"/>
    <w:rsid w:val="0088540A"/>
    <w:rsid w:val="0088605A"/>
    <w:rsid w:val="008903F4"/>
    <w:rsid w:val="00895195"/>
    <w:rsid w:val="008965A2"/>
    <w:rsid w:val="008C314C"/>
    <w:rsid w:val="008C3B92"/>
    <w:rsid w:val="008D37EB"/>
    <w:rsid w:val="008E5DD8"/>
    <w:rsid w:val="008F0ECD"/>
    <w:rsid w:val="008F309B"/>
    <w:rsid w:val="008F4A98"/>
    <w:rsid w:val="008F680A"/>
    <w:rsid w:val="00901DF3"/>
    <w:rsid w:val="00905427"/>
    <w:rsid w:val="009146E9"/>
    <w:rsid w:val="00915F79"/>
    <w:rsid w:val="0092192F"/>
    <w:rsid w:val="009221A5"/>
    <w:rsid w:val="00925964"/>
    <w:rsid w:val="00931AC0"/>
    <w:rsid w:val="00942EDB"/>
    <w:rsid w:val="0094544A"/>
    <w:rsid w:val="00947F64"/>
    <w:rsid w:val="00970526"/>
    <w:rsid w:val="00976BE9"/>
    <w:rsid w:val="009A2063"/>
    <w:rsid w:val="009A2B98"/>
    <w:rsid w:val="009A3478"/>
    <w:rsid w:val="009A473B"/>
    <w:rsid w:val="009A63A8"/>
    <w:rsid w:val="009A64D7"/>
    <w:rsid w:val="009B0D1D"/>
    <w:rsid w:val="009B1CEC"/>
    <w:rsid w:val="009C16A5"/>
    <w:rsid w:val="009C3108"/>
    <w:rsid w:val="009C5DCC"/>
    <w:rsid w:val="009D016E"/>
    <w:rsid w:val="009D2BA8"/>
    <w:rsid w:val="009D45ED"/>
    <w:rsid w:val="009D4BEE"/>
    <w:rsid w:val="009D4E5C"/>
    <w:rsid w:val="009D6269"/>
    <w:rsid w:val="009E0F95"/>
    <w:rsid w:val="009E6EE1"/>
    <w:rsid w:val="009E7DC3"/>
    <w:rsid w:val="009F0EDA"/>
    <w:rsid w:val="009F2876"/>
    <w:rsid w:val="009F2CA0"/>
    <w:rsid w:val="009F3A35"/>
    <w:rsid w:val="00A136DA"/>
    <w:rsid w:val="00A21288"/>
    <w:rsid w:val="00A319DD"/>
    <w:rsid w:val="00A342B6"/>
    <w:rsid w:val="00A343A4"/>
    <w:rsid w:val="00A34B29"/>
    <w:rsid w:val="00A550D4"/>
    <w:rsid w:val="00A63594"/>
    <w:rsid w:val="00A67043"/>
    <w:rsid w:val="00A80499"/>
    <w:rsid w:val="00A87B7E"/>
    <w:rsid w:val="00A91B31"/>
    <w:rsid w:val="00AA65C6"/>
    <w:rsid w:val="00AA70BC"/>
    <w:rsid w:val="00AA74F1"/>
    <w:rsid w:val="00AB12B8"/>
    <w:rsid w:val="00AB268D"/>
    <w:rsid w:val="00AB341E"/>
    <w:rsid w:val="00AB6948"/>
    <w:rsid w:val="00AB729E"/>
    <w:rsid w:val="00AC162B"/>
    <w:rsid w:val="00AC6E8B"/>
    <w:rsid w:val="00AD00AB"/>
    <w:rsid w:val="00AE042B"/>
    <w:rsid w:val="00AE04C6"/>
    <w:rsid w:val="00AE197F"/>
    <w:rsid w:val="00AE5746"/>
    <w:rsid w:val="00AF074D"/>
    <w:rsid w:val="00AF0A61"/>
    <w:rsid w:val="00AF0B55"/>
    <w:rsid w:val="00B05396"/>
    <w:rsid w:val="00B0762A"/>
    <w:rsid w:val="00B11DE8"/>
    <w:rsid w:val="00B21A44"/>
    <w:rsid w:val="00B2211F"/>
    <w:rsid w:val="00B22F6C"/>
    <w:rsid w:val="00B2635E"/>
    <w:rsid w:val="00B30524"/>
    <w:rsid w:val="00B439D6"/>
    <w:rsid w:val="00B45747"/>
    <w:rsid w:val="00B46AA8"/>
    <w:rsid w:val="00B4732B"/>
    <w:rsid w:val="00B50A76"/>
    <w:rsid w:val="00B53CA6"/>
    <w:rsid w:val="00B74E6A"/>
    <w:rsid w:val="00B756BA"/>
    <w:rsid w:val="00B81A4A"/>
    <w:rsid w:val="00B84DFA"/>
    <w:rsid w:val="00B92182"/>
    <w:rsid w:val="00BA32A0"/>
    <w:rsid w:val="00BA7C92"/>
    <w:rsid w:val="00BB14DB"/>
    <w:rsid w:val="00BB3055"/>
    <w:rsid w:val="00BB55C4"/>
    <w:rsid w:val="00BB66FF"/>
    <w:rsid w:val="00BC0AA3"/>
    <w:rsid w:val="00BC746E"/>
    <w:rsid w:val="00BD0992"/>
    <w:rsid w:val="00BD5CCD"/>
    <w:rsid w:val="00BE1FBD"/>
    <w:rsid w:val="00BE2D0A"/>
    <w:rsid w:val="00BF0BF1"/>
    <w:rsid w:val="00BF2445"/>
    <w:rsid w:val="00BF2CED"/>
    <w:rsid w:val="00C02270"/>
    <w:rsid w:val="00C06104"/>
    <w:rsid w:val="00C101ED"/>
    <w:rsid w:val="00C122CF"/>
    <w:rsid w:val="00C14165"/>
    <w:rsid w:val="00C20C24"/>
    <w:rsid w:val="00C2310D"/>
    <w:rsid w:val="00C2485F"/>
    <w:rsid w:val="00C30A13"/>
    <w:rsid w:val="00C348E7"/>
    <w:rsid w:val="00C351FF"/>
    <w:rsid w:val="00C3681C"/>
    <w:rsid w:val="00C4083B"/>
    <w:rsid w:val="00C42221"/>
    <w:rsid w:val="00C4669B"/>
    <w:rsid w:val="00C467F3"/>
    <w:rsid w:val="00C4709F"/>
    <w:rsid w:val="00C518F9"/>
    <w:rsid w:val="00C603A4"/>
    <w:rsid w:val="00C62678"/>
    <w:rsid w:val="00C63834"/>
    <w:rsid w:val="00C67317"/>
    <w:rsid w:val="00C715FB"/>
    <w:rsid w:val="00C716A9"/>
    <w:rsid w:val="00C7288B"/>
    <w:rsid w:val="00C7293E"/>
    <w:rsid w:val="00C749D2"/>
    <w:rsid w:val="00C76EB7"/>
    <w:rsid w:val="00C81E8F"/>
    <w:rsid w:val="00C84D0A"/>
    <w:rsid w:val="00C86D11"/>
    <w:rsid w:val="00C87B38"/>
    <w:rsid w:val="00C94AE6"/>
    <w:rsid w:val="00C95397"/>
    <w:rsid w:val="00CA0609"/>
    <w:rsid w:val="00CA67C5"/>
    <w:rsid w:val="00CC0390"/>
    <w:rsid w:val="00CC09B7"/>
    <w:rsid w:val="00CC0BF4"/>
    <w:rsid w:val="00CD0780"/>
    <w:rsid w:val="00CD1D7E"/>
    <w:rsid w:val="00CE70E8"/>
    <w:rsid w:val="00CF2A6B"/>
    <w:rsid w:val="00CF67E5"/>
    <w:rsid w:val="00D00244"/>
    <w:rsid w:val="00D06707"/>
    <w:rsid w:val="00D221A1"/>
    <w:rsid w:val="00D33172"/>
    <w:rsid w:val="00D42EAE"/>
    <w:rsid w:val="00D43191"/>
    <w:rsid w:val="00D667D1"/>
    <w:rsid w:val="00D701B6"/>
    <w:rsid w:val="00D723F2"/>
    <w:rsid w:val="00D73B6A"/>
    <w:rsid w:val="00D757C6"/>
    <w:rsid w:val="00D86421"/>
    <w:rsid w:val="00D86641"/>
    <w:rsid w:val="00D9180A"/>
    <w:rsid w:val="00D91995"/>
    <w:rsid w:val="00D93AD3"/>
    <w:rsid w:val="00D97346"/>
    <w:rsid w:val="00DA306C"/>
    <w:rsid w:val="00DA42CB"/>
    <w:rsid w:val="00DA57EE"/>
    <w:rsid w:val="00DB26EC"/>
    <w:rsid w:val="00DB44AF"/>
    <w:rsid w:val="00DC0680"/>
    <w:rsid w:val="00DC2BC0"/>
    <w:rsid w:val="00DC2CFD"/>
    <w:rsid w:val="00DC4309"/>
    <w:rsid w:val="00DC4B28"/>
    <w:rsid w:val="00DD364C"/>
    <w:rsid w:val="00DE0DEA"/>
    <w:rsid w:val="00DE5696"/>
    <w:rsid w:val="00DE7B70"/>
    <w:rsid w:val="00DF1E2A"/>
    <w:rsid w:val="00DF23E6"/>
    <w:rsid w:val="00DF29DB"/>
    <w:rsid w:val="00DF2D17"/>
    <w:rsid w:val="00E003D1"/>
    <w:rsid w:val="00E04E26"/>
    <w:rsid w:val="00E066C8"/>
    <w:rsid w:val="00E10767"/>
    <w:rsid w:val="00E14E9B"/>
    <w:rsid w:val="00E53292"/>
    <w:rsid w:val="00E66981"/>
    <w:rsid w:val="00E74BD9"/>
    <w:rsid w:val="00E80F44"/>
    <w:rsid w:val="00E82189"/>
    <w:rsid w:val="00E838DA"/>
    <w:rsid w:val="00E878AB"/>
    <w:rsid w:val="00E90761"/>
    <w:rsid w:val="00E9177E"/>
    <w:rsid w:val="00E927A9"/>
    <w:rsid w:val="00E93572"/>
    <w:rsid w:val="00EA1AE1"/>
    <w:rsid w:val="00EA37D4"/>
    <w:rsid w:val="00EB5C4A"/>
    <w:rsid w:val="00EC2485"/>
    <w:rsid w:val="00EC27FD"/>
    <w:rsid w:val="00EC50C2"/>
    <w:rsid w:val="00EC58F2"/>
    <w:rsid w:val="00EC7ABD"/>
    <w:rsid w:val="00ED0B9C"/>
    <w:rsid w:val="00ED18E8"/>
    <w:rsid w:val="00ED1CA4"/>
    <w:rsid w:val="00ED6627"/>
    <w:rsid w:val="00ED76E1"/>
    <w:rsid w:val="00EE4790"/>
    <w:rsid w:val="00EE6C42"/>
    <w:rsid w:val="00EF38EE"/>
    <w:rsid w:val="00EF6099"/>
    <w:rsid w:val="00EF7D09"/>
    <w:rsid w:val="00F04DF0"/>
    <w:rsid w:val="00F11A36"/>
    <w:rsid w:val="00F12932"/>
    <w:rsid w:val="00F13AC4"/>
    <w:rsid w:val="00F16C6E"/>
    <w:rsid w:val="00F21934"/>
    <w:rsid w:val="00F252FB"/>
    <w:rsid w:val="00F25C09"/>
    <w:rsid w:val="00F46D2C"/>
    <w:rsid w:val="00F47095"/>
    <w:rsid w:val="00F502B1"/>
    <w:rsid w:val="00F50A95"/>
    <w:rsid w:val="00F52F4A"/>
    <w:rsid w:val="00F54D90"/>
    <w:rsid w:val="00F635FF"/>
    <w:rsid w:val="00F63BD5"/>
    <w:rsid w:val="00F65E8F"/>
    <w:rsid w:val="00F81039"/>
    <w:rsid w:val="00F825B6"/>
    <w:rsid w:val="00F84871"/>
    <w:rsid w:val="00F85E17"/>
    <w:rsid w:val="00F876BD"/>
    <w:rsid w:val="00F900CD"/>
    <w:rsid w:val="00F91131"/>
    <w:rsid w:val="00F92260"/>
    <w:rsid w:val="00F92C61"/>
    <w:rsid w:val="00F93210"/>
    <w:rsid w:val="00FB2FC2"/>
    <w:rsid w:val="00FB6338"/>
    <w:rsid w:val="00FC5D07"/>
    <w:rsid w:val="00FD046A"/>
    <w:rsid w:val="00FD4A63"/>
    <w:rsid w:val="00FD770C"/>
    <w:rsid w:val="00FE0736"/>
    <w:rsid w:val="00FE0851"/>
    <w:rsid w:val="00FE657A"/>
    <w:rsid w:val="00FF558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2EAE"/>
    <w:pPr>
      <w:spacing w:line="220" w:lineRule="atLeast"/>
    </w:pPr>
    <w:rPr>
      <w:rFonts w:ascii="Arial" w:eastAsia="Rotis Sans Serif Pro" w:hAnsi="Arial"/>
      <w:sz w:val="18"/>
      <w:szCs w:val="18"/>
      <w:lang w:val="de-AT" w:eastAsia="en-US"/>
    </w:rPr>
  </w:style>
  <w:style w:type="paragraph" w:styleId="berschrift1">
    <w:name w:val="heading 1"/>
    <w:basedOn w:val="Standard"/>
    <w:next w:val="Standard"/>
    <w:uiPriority w:val="9"/>
    <w:qFormat/>
    <w:rsid w:val="00D42EAE"/>
    <w:pPr>
      <w:keepNext/>
      <w:keepLines/>
      <w:numPr>
        <w:ilvl w:val="1"/>
        <w:numId w:val="34"/>
      </w:numPr>
      <w:spacing w:before="220" w:after="220" w:line="400" w:lineRule="exact"/>
      <w:outlineLvl w:val="0"/>
    </w:pPr>
    <w:rPr>
      <w:rFonts w:eastAsia="MS Mincho"/>
      <w:b/>
      <w:bCs/>
      <w:color w:val="0096BB"/>
      <w:sz w:val="40"/>
      <w:szCs w:val="28"/>
    </w:rPr>
  </w:style>
  <w:style w:type="paragraph" w:styleId="berschrift2">
    <w:name w:val="heading 2"/>
    <w:basedOn w:val="Standard"/>
    <w:next w:val="Standard"/>
    <w:uiPriority w:val="9"/>
    <w:qFormat/>
    <w:rsid w:val="00D42EAE"/>
    <w:pPr>
      <w:keepNext/>
      <w:keepLines/>
      <w:numPr>
        <w:ilvl w:val="2"/>
        <w:numId w:val="34"/>
      </w:numPr>
      <w:spacing w:before="220" w:after="220" w:line="240" w:lineRule="exact"/>
      <w:outlineLvl w:val="1"/>
    </w:pPr>
    <w:rPr>
      <w:rFonts w:eastAsia="MS Mincho"/>
      <w:b/>
      <w:bCs/>
      <w:color w:val="0096BB"/>
      <w:sz w:val="24"/>
      <w:szCs w:val="26"/>
    </w:rPr>
  </w:style>
  <w:style w:type="paragraph" w:styleId="berschrift3">
    <w:name w:val="heading 3"/>
    <w:basedOn w:val="Standard"/>
    <w:next w:val="Standard"/>
    <w:uiPriority w:val="9"/>
    <w:qFormat/>
    <w:rsid w:val="00D42EAE"/>
    <w:pPr>
      <w:keepNext/>
      <w:keepLines/>
      <w:numPr>
        <w:ilvl w:val="3"/>
        <w:numId w:val="34"/>
      </w:numPr>
      <w:spacing w:before="220" w:after="220" w:line="240" w:lineRule="exact"/>
      <w:outlineLvl w:val="2"/>
    </w:pPr>
    <w:rPr>
      <w:rFonts w:eastAsia="MS Mincho"/>
      <w:bCs/>
      <w:sz w:val="24"/>
    </w:rPr>
  </w:style>
  <w:style w:type="paragraph" w:styleId="berschrift4">
    <w:name w:val="heading 4"/>
    <w:basedOn w:val="Standard"/>
    <w:next w:val="Standard"/>
    <w:uiPriority w:val="9"/>
    <w:qFormat/>
    <w:rsid w:val="00D42EAE"/>
    <w:pPr>
      <w:keepNext/>
      <w:keepLines/>
      <w:numPr>
        <w:ilvl w:val="4"/>
        <w:numId w:val="34"/>
      </w:numPr>
      <w:spacing w:before="220" w:after="220" w:line="220" w:lineRule="exact"/>
      <w:outlineLvl w:val="3"/>
    </w:pPr>
    <w:rPr>
      <w:rFonts w:eastAsia="MS Mincho"/>
      <w:b/>
      <w:bCs/>
      <w:iCs/>
      <w:u w:val="single"/>
    </w:rPr>
  </w:style>
  <w:style w:type="paragraph" w:styleId="berschrift5">
    <w:name w:val="heading 5"/>
    <w:basedOn w:val="Standard"/>
    <w:next w:val="Standard"/>
    <w:qFormat/>
    <w:rsid w:val="00A67043"/>
    <w:pPr>
      <w:outlineLvl w:val="4"/>
    </w:pPr>
  </w:style>
  <w:style w:type="paragraph" w:styleId="berschrift6">
    <w:name w:val="heading 6"/>
    <w:basedOn w:val="berschrift5"/>
    <w:next w:val="Standard"/>
    <w:qFormat/>
    <w:rsid w:val="00A67043"/>
    <w:pPr>
      <w:outlineLvl w:val="5"/>
    </w:pPr>
  </w:style>
  <w:style w:type="paragraph" w:styleId="berschrift7">
    <w:name w:val="heading 7"/>
    <w:basedOn w:val="berschrift6"/>
    <w:next w:val="Standard"/>
    <w:qFormat/>
    <w:rsid w:val="00A67043"/>
    <w:pPr>
      <w:outlineLvl w:val="6"/>
    </w:pPr>
  </w:style>
  <w:style w:type="paragraph" w:styleId="berschrift8">
    <w:name w:val="heading 8"/>
    <w:basedOn w:val="berschrift7"/>
    <w:next w:val="Standard"/>
    <w:qFormat/>
    <w:rsid w:val="00A67043"/>
    <w:pPr>
      <w:outlineLvl w:val="7"/>
    </w:pPr>
  </w:style>
  <w:style w:type="paragraph" w:styleId="berschrift9">
    <w:name w:val="heading 9"/>
    <w:basedOn w:val="berschrift8"/>
    <w:next w:val="Standard"/>
    <w:qFormat/>
    <w:rsid w:val="00A67043"/>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semiHidden/>
    <w:rsid w:val="00E90761"/>
    <w:pPr>
      <w:spacing w:after="24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D42EAE"/>
    <w:pPr>
      <w:spacing w:after="220"/>
    </w:pPr>
    <w:rPr>
      <w:b/>
      <w:bCs/>
      <w:color w:val="0096BB"/>
      <w:sz w:val="14"/>
    </w:rPr>
  </w:style>
  <w:style w:type="paragraph" w:styleId="Verzeichnis1">
    <w:name w:val="toc 1"/>
    <w:basedOn w:val="Standard"/>
    <w:next w:val="Standard"/>
    <w:autoRedefine/>
    <w:uiPriority w:val="39"/>
    <w:rsid w:val="00D42EAE"/>
    <w:pPr>
      <w:tabs>
        <w:tab w:val="left" w:pos="170"/>
        <w:tab w:val="left" w:pos="227"/>
        <w:tab w:val="left" w:pos="312"/>
      </w:tabs>
      <w:spacing w:before="440" w:after="220"/>
    </w:pPr>
    <w:rPr>
      <w:color w:val="0096BB"/>
      <w:sz w:val="24"/>
    </w:rPr>
  </w:style>
  <w:style w:type="paragraph" w:styleId="Verzeichnis2">
    <w:name w:val="toc 2"/>
    <w:basedOn w:val="Standard"/>
    <w:next w:val="Standard"/>
    <w:autoRedefine/>
    <w:uiPriority w:val="39"/>
    <w:rsid w:val="00D42EAE"/>
    <w:pPr>
      <w:tabs>
        <w:tab w:val="right" w:leader="underscore" w:pos="7927"/>
      </w:tabs>
      <w:spacing w:before="220" w:after="220"/>
    </w:pPr>
    <w:rPr>
      <w:sz w:val="24"/>
    </w:rPr>
  </w:style>
  <w:style w:type="paragraph" w:styleId="Verzeichnis3">
    <w:name w:val="toc 3"/>
    <w:basedOn w:val="Standard"/>
    <w:next w:val="Standard"/>
    <w:autoRedefine/>
    <w:uiPriority w:val="39"/>
    <w:rsid w:val="00D42EAE"/>
    <w:pPr>
      <w:tabs>
        <w:tab w:val="right" w:leader="underscore" w:pos="7927"/>
      </w:tabs>
      <w:spacing w:after="220"/>
    </w:pPr>
    <w:rPr>
      <w:b/>
      <w:u w:val="single"/>
    </w:rPr>
  </w:style>
  <w:style w:type="paragraph" w:styleId="Verzeichnis4">
    <w:name w:val="toc 4"/>
    <w:basedOn w:val="Standard"/>
    <w:next w:val="Standard"/>
    <w:autoRedefine/>
    <w:uiPriority w:val="39"/>
    <w:rsid w:val="00D42EAE"/>
    <w:rPr>
      <w:b/>
    </w:rPr>
  </w:style>
  <w:style w:type="character" w:styleId="Hyperlink">
    <w:name w:val="Hyperlink"/>
    <w:basedOn w:val="Absatz-Standardschriftart"/>
    <w:rsid w:val="00126123"/>
    <w:rPr>
      <w:color w:val="0000FF"/>
      <w:u w:val="single"/>
    </w:rPr>
  </w:style>
  <w:style w:type="paragraph" w:customStyle="1" w:styleId="Verzeichnisse-berschrift">
    <w:name w:val="Verzeichnisse-Überschrift"/>
    <w:basedOn w:val="Standard"/>
    <w:next w:val="Standard"/>
    <w:rsid w:val="00AF0A61"/>
    <w:rPr>
      <w:sz w:val="34"/>
      <w:szCs w:val="34"/>
    </w:rPr>
  </w:style>
  <w:style w:type="paragraph" w:styleId="Abbildungsverzeichnis">
    <w:name w:val="table of figures"/>
    <w:basedOn w:val="Standard"/>
    <w:next w:val="Standard"/>
    <w:uiPriority w:val="99"/>
    <w:rsid w:val="00AF0A61"/>
    <w:pPr>
      <w:spacing w:after="120"/>
      <w:ind w:left="737" w:right="340" w:hanging="737"/>
    </w:pPr>
  </w:style>
  <w:style w:type="paragraph" w:styleId="Fuzeile">
    <w:name w:val="footer"/>
    <w:basedOn w:val="Standard"/>
    <w:link w:val="FuzeileZchn"/>
    <w:uiPriority w:val="99"/>
    <w:rsid w:val="00D42EAE"/>
    <w:pPr>
      <w:tabs>
        <w:tab w:val="center" w:pos="4536"/>
        <w:tab w:val="right" w:pos="9072"/>
      </w:tabs>
      <w:spacing w:line="240" w:lineRule="auto"/>
      <w:ind w:right="-2268"/>
      <w:jc w:val="right"/>
    </w:pPr>
    <w:rPr>
      <w:sz w:val="12"/>
      <w:szCs w:val="12"/>
    </w:rPr>
  </w:style>
  <w:style w:type="character" w:styleId="Seitenzahl">
    <w:name w:val="page number"/>
    <w:basedOn w:val="Absatz-Standardschriftart"/>
    <w:semiHidden/>
    <w:rsid w:val="007B29DD"/>
    <w:rPr>
      <w:sz w:val="20"/>
    </w:rPr>
  </w:style>
  <w:style w:type="paragraph" w:styleId="Kopfzeile">
    <w:name w:val="header"/>
    <w:basedOn w:val="Standard"/>
    <w:link w:val="KopfzeileZchn"/>
    <w:uiPriority w:val="99"/>
    <w:rsid w:val="00D42EAE"/>
    <w:pPr>
      <w:tabs>
        <w:tab w:val="center" w:pos="4536"/>
        <w:tab w:val="right" w:pos="9072"/>
      </w:tabs>
      <w:spacing w:line="220" w:lineRule="exact"/>
      <w:ind w:right="-1701"/>
      <w:jc w:val="right"/>
    </w:pPr>
    <w:rPr>
      <w:spacing w:val="5"/>
      <w:sz w:val="14"/>
    </w:rPr>
  </w:style>
  <w:style w:type="paragraph" w:customStyle="1" w:styleId="FormatvorlageAufgezhlt">
    <w:name w:val="Formatvorlage Aufgezählt"/>
    <w:basedOn w:val="Standard"/>
    <w:rsid w:val="004C4918"/>
    <w:pPr>
      <w:numPr>
        <w:numId w:val="1"/>
      </w:numPr>
      <w:spacing w:after="60"/>
      <w:ind w:left="714" w:hanging="357"/>
    </w:pPr>
  </w:style>
  <w:style w:type="paragraph" w:customStyle="1" w:styleId="FormatvorlageAufgezhlt1">
    <w:name w:val="Formatvorlage Aufgezählt1"/>
    <w:basedOn w:val="Standard"/>
    <w:rsid w:val="004C4918"/>
    <w:pPr>
      <w:numPr>
        <w:ilvl w:val="1"/>
        <w:numId w:val="1"/>
      </w:numPr>
      <w:tabs>
        <w:tab w:val="clear" w:pos="1440"/>
        <w:tab w:val="left" w:pos="720"/>
      </w:tabs>
      <w:spacing w:after="60"/>
      <w:ind w:left="714" w:hanging="357"/>
    </w:pPr>
  </w:style>
  <w:style w:type="paragraph" w:styleId="Funotentext">
    <w:name w:val="footnote text"/>
    <w:basedOn w:val="Standard"/>
    <w:uiPriority w:val="99"/>
    <w:rsid w:val="00D42EAE"/>
    <w:pPr>
      <w:spacing w:line="180" w:lineRule="atLeast"/>
    </w:pPr>
    <w:rPr>
      <w:sz w:val="14"/>
      <w:szCs w:val="20"/>
    </w:rPr>
  </w:style>
  <w:style w:type="character" w:styleId="Funotenzeichen">
    <w:name w:val="footnote reference"/>
    <w:uiPriority w:val="99"/>
    <w:semiHidden/>
    <w:unhideWhenUsed/>
    <w:rsid w:val="00D42EAE"/>
    <w:rPr>
      <w:vertAlign w:val="superscript"/>
    </w:rPr>
  </w:style>
  <w:style w:type="character" w:customStyle="1" w:styleId="KopfzeileZchn">
    <w:name w:val="Kopfzeile Zchn"/>
    <w:basedOn w:val="Absatz-Standardschriftart"/>
    <w:link w:val="Kopfzeile"/>
    <w:uiPriority w:val="99"/>
    <w:rsid w:val="00DE7B70"/>
    <w:rPr>
      <w:rFonts w:ascii="Rotis Sans Serif Pro" w:eastAsia="Rotis Sans Serif Pro" w:hAnsi="Rotis Sans Serif Pro"/>
      <w:color w:val="FFFFFF"/>
      <w:spacing w:val="5"/>
      <w:sz w:val="14"/>
      <w:szCs w:val="18"/>
      <w:lang w:val="de-AT" w:eastAsia="en-US"/>
    </w:rPr>
  </w:style>
  <w:style w:type="paragraph" w:styleId="Sprechblasentext">
    <w:name w:val="Balloon Text"/>
    <w:basedOn w:val="Standard"/>
    <w:link w:val="SprechblasentextZchn"/>
    <w:uiPriority w:val="99"/>
    <w:unhideWhenUsed/>
    <w:rsid w:val="00D42E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D3591"/>
    <w:rPr>
      <w:rFonts w:ascii="Tahoma" w:eastAsia="Rotis Sans Serif Pro" w:hAnsi="Tahoma" w:cs="Tahoma"/>
      <w:color w:val="FFFFFF"/>
      <w:sz w:val="16"/>
      <w:szCs w:val="16"/>
      <w:lang w:val="de-AT" w:eastAsia="en-US"/>
    </w:rPr>
  </w:style>
  <w:style w:type="paragraph" w:styleId="Listenabsatz">
    <w:name w:val="List Paragraph"/>
    <w:basedOn w:val="Standard"/>
    <w:uiPriority w:val="34"/>
    <w:qFormat/>
    <w:rsid w:val="003B47E7"/>
    <w:pPr>
      <w:numPr>
        <w:numId w:val="3"/>
      </w:numPr>
      <w:spacing w:before="60" w:after="60"/>
    </w:pPr>
    <w:rPr>
      <w:rFonts w:eastAsia="Calibri"/>
      <w:szCs w:val="22"/>
      <w:lang w:val="de-DE"/>
    </w:rPr>
  </w:style>
  <w:style w:type="character" w:styleId="Hervorhebung">
    <w:name w:val="Emphasis"/>
    <w:basedOn w:val="Absatz-Standardschriftart"/>
    <w:qFormat/>
    <w:rsid w:val="001D33DF"/>
    <w:rPr>
      <w:i/>
      <w:iCs/>
    </w:rPr>
  </w:style>
  <w:style w:type="character" w:styleId="Kommentarzeichen">
    <w:name w:val="annotation reference"/>
    <w:basedOn w:val="Absatz-Standardschriftart"/>
    <w:uiPriority w:val="99"/>
    <w:rsid w:val="00E82189"/>
    <w:rPr>
      <w:sz w:val="16"/>
      <w:szCs w:val="16"/>
    </w:rPr>
  </w:style>
  <w:style w:type="paragraph" w:styleId="Kommentartext">
    <w:name w:val="annotation text"/>
    <w:basedOn w:val="Standard"/>
    <w:link w:val="KommentartextZchn"/>
    <w:uiPriority w:val="99"/>
    <w:rsid w:val="00E82189"/>
    <w:pPr>
      <w:spacing w:line="240" w:lineRule="auto"/>
    </w:pPr>
    <w:rPr>
      <w:sz w:val="20"/>
      <w:szCs w:val="20"/>
    </w:rPr>
  </w:style>
  <w:style w:type="character" w:customStyle="1" w:styleId="KommentartextZchn">
    <w:name w:val="Kommentartext Zchn"/>
    <w:basedOn w:val="Absatz-Standardschriftart"/>
    <w:link w:val="Kommentartext"/>
    <w:uiPriority w:val="99"/>
    <w:rsid w:val="00E82189"/>
    <w:rPr>
      <w:rFonts w:ascii="Arial" w:hAnsi="Arial"/>
      <w:lang w:val="de-AT" w:eastAsia="de-AT"/>
    </w:rPr>
  </w:style>
  <w:style w:type="paragraph" w:styleId="Kommentarthema">
    <w:name w:val="annotation subject"/>
    <w:basedOn w:val="Kommentartext"/>
    <w:next w:val="Kommentartext"/>
    <w:link w:val="KommentarthemaZchn"/>
    <w:rsid w:val="00E82189"/>
    <w:rPr>
      <w:b/>
      <w:bCs/>
    </w:rPr>
  </w:style>
  <w:style w:type="character" w:customStyle="1" w:styleId="KommentarthemaZchn">
    <w:name w:val="Kommentarthema Zchn"/>
    <w:basedOn w:val="KommentartextZchn"/>
    <w:link w:val="Kommentarthema"/>
    <w:rsid w:val="00E82189"/>
    <w:rPr>
      <w:b/>
      <w:bCs/>
    </w:rPr>
  </w:style>
  <w:style w:type="paragraph" w:styleId="Literaturverzeichnis">
    <w:name w:val="Bibliography"/>
    <w:basedOn w:val="Standard"/>
    <w:next w:val="Standard"/>
    <w:uiPriority w:val="37"/>
    <w:unhideWhenUsed/>
    <w:rsid w:val="005F79F8"/>
  </w:style>
  <w:style w:type="paragraph" w:customStyle="1" w:styleId="Default">
    <w:name w:val="Default"/>
    <w:rsid w:val="009D2BA8"/>
    <w:pPr>
      <w:autoSpaceDE w:val="0"/>
      <w:autoSpaceDN w:val="0"/>
      <w:adjustRightInd w:val="0"/>
    </w:pPr>
    <w:rPr>
      <w:rFonts w:ascii="Wingdings" w:hAnsi="Wingdings" w:cs="Wingdings"/>
      <w:color w:val="000000"/>
      <w:sz w:val="24"/>
      <w:szCs w:val="24"/>
      <w:lang w:val="de-AT"/>
    </w:rPr>
  </w:style>
  <w:style w:type="paragraph" w:customStyle="1" w:styleId="Achtungshinweis">
    <w:name w:val="Achtungshinweis"/>
    <w:basedOn w:val="Standard"/>
    <w:next w:val="Standard"/>
    <w:semiHidden/>
    <w:rsid w:val="00D42EAE"/>
    <w:rPr>
      <w:vanish/>
      <w:color w:val="FF0000"/>
      <w:sz w:val="14"/>
    </w:rPr>
  </w:style>
  <w:style w:type="paragraph" w:customStyle="1" w:styleId="RahmenAufzhlung">
    <w:name w:val="Rahmen Aufzählung"/>
    <w:basedOn w:val="Standard"/>
    <w:qFormat/>
    <w:rsid w:val="00D42EAE"/>
    <w:pPr>
      <w:numPr>
        <w:numId w:val="25"/>
      </w:numPr>
      <w:pBdr>
        <w:top w:val="single" w:sz="8" w:space="9" w:color="0096BB"/>
        <w:left w:val="single" w:sz="8" w:space="10" w:color="0096BB"/>
        <w:bottom w:val="single" w:sz="8" w:space="9" w:color="0096BB"/>
        <w:right w:val="single" w:sz="8" w:space="6" w:color="0096BB"/>
      </w:pBdr>
      <w:spacing w:before="220" w:after="220"/>
      <w:ind w:right="142"/>
    </w:pPr>
    <w:rPr>
      <w:color w:val="0096BB"/>
    </w:rPr>
  </w:style>
  <w:style w:type="paragraph" w:customStyle="1" w:styleId="AufzhlungStandard">
    <w:name w:val="Aufzählung Standard"/>
    <w:basedOn w:val="RahmenAufzhlung"/>
    <w:qFormat/>
    <w:rsid w:val="00D42EAE"/>
    <w:pPr>
      <w:numPr>
        <w:numId w:val="0"/>
      </w:numPr>
      <w:pBdr>
        <w:top w:val="none" w:sz="0" w:space="0" w:color="auto"/>
        <w:left w:val="none" w:sz="0" w:space="0" w:color="auto"/>
        <w:bottom w:val="none" w:sz="0" w:space="0" w:color="auto"/>
        <w:right w:val="none" w:sz="0" w:space="0" w:color="auto"/>
      </w:pBdr>
      <w:ind w:right="0"/>
    </w:pPr>
    <w:rPr>
      <w:color w:val="262626"/>
    </w:rPr>
  </w:style>
  <w:style w:type="paragraph" w:customStyle="1" w:styleId="blank">
    <w:name w:val="blank"/>
    <w:basedOn w:val="Standard"/>
    <w:semiHidden/>
    <w:rsid w:val="00D42EAE"/>
    <w:pPr>
      <w:spacing w:line="240" w:lineRule="auto"/>
    </w:pPr>
    <w:rPr>
      <w:sz w:val="2"/>
    </w:rPr>
  </w:style>
  <w:style w:type="character" w:customStyle="1" w:styleId="Buchtitel1">
    <w:name w:val="Buchtitel1"/>
    <w:uiPriority w:val="33"/>
    <w:semiHidden/>
    <w:rsid w:val="00D42EAE"/>
    <w:rPr>
      <w:b/>
      <w:bCs/>
      <w:smallCaps/>
      <w:spacing w:val="5"/>
    </w:rPr>
  </w:style>
  <w:style w:type="numbering" w:customStyle="1" w:styleId="Gliederung">
    <w:name w:val="Gliederung"/>
    <w:uiPriority w:val="99"/>
    <w:rsid w:val="00D42EAE"/>
    <w:pPr>
      <w:numPr>
        <w:numId w:val="26"/>
      </w:numPr>
    </w:pPr>
  </w:style>
  <w:style w:type="paragraph" w:customStyle="1" w:styleId="Gliederung1Zusammenfassung">
    <w:name w:val="Gliederung 1 Zusammenfassung"/>
    <w:next w:val="Standard"/>
    <w:qFormat/>
    <w:rsid w:val="00D42EAE"/>
    <w:pPr>
      <w:numPr>
        <w:numId w:val="30"/>
      </w:numPr>
      <w:ind w:left="720" w:hanging="360"/>
    </w:pPr>
  </w:style>
  <w:style w:type="table" w:styleId="MittleresRaster1-Akzent2">
    <w:name w:val="Medium Grid 1 Accent 2"/>
    <w:basedOn w:val="NormaleTabelle"/>
    <w:uiPriority w:val="67"/>
    <w:rsid w:val="00D42EA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Gliederung2Zusammenfassung">
    <w:name w:val="Gliederung 2 Zusammenfassung"/>
    <w:basedOn w:val="Gliederung1Zusammenfassung"/>
    <w:next w:val="Standard"/>
    <w:qFormat/>
    <w:rsid w:val="00D42EAE"/>
    <w:pPr>
      <w:numPr>
        <w:ilvl w:val="1"/>
      </w:numPr>
      <w:spacing w:before="220" w:after="220" w:line="240" w:lineRule="exact"/>
      <w:ind w:left="1440" w:hanging="360"/>
      <w:contextualSpacing/>
    </w:pPr>
    <w:rPr>
      <w:rFonts w:ascii="Rotis Sans Serif Pro" w:eastAsia="Rotis Sans Serif Pro" w:hAnsi="Rotis Sans Serif Pro"/>
      <w:color w:val="FFFFFF"/>
      <w:sz w:val="24"/>
      <w:szCs w:val="18"/>
      <w:lang w:val="en-US" w:eastAsia="en-US"/>
    </w:rPr>
  </w:style>
  <w:style w:type="paragraph" w:styleId="Titel">
    <w:name w:val="Title"/>
    <w:basedOn w:val="Standard"/>
    <w:link w:val="TitelZchn"/>
    <w:uiPriority w:val="10"/>
    <w:qFormat/>
    <w:rsid w:val="00D42EAE"/>
    <w:pPr>
      <w:spacing w:line="720" w:lineRule="exact"/>
      <w:contextualSpacing/>
    </w:pPr>
    <w:rPr>
      <w:rFonts w:eastAsia="MS Mincho"/>
      <w:b/>
      <w:spacing w:val="5"/>
      <w:kern w:val="28"/>
      <w:sz w:val="72"/>
      <w:szCs w:val="52"/>
    </w:rPr>
  </w:style>
  <w:style w:type="character" w:customStyle="1" w:styleId="TitelZchn">
    <w:name w:val="Titel Zchn"/>
    <w:basedOn w:val="Absatz-Standardschriftart"/>
    <w:link w:val="Titel"/>
    <w:uiPriority w:val="10"/>
    <w:rsid w:val="00D42EAE"/>
    <w:rPr>
      <w:rFonts w:ascii="Rotis Sans Serif Pro" w:eastAsia="MS Mincho" w:hAnsi="Rotis Sans Serif Pro"/>
      <w:b/>
      <w:color w:val="FFFFFF"/>
      <w:spacing w:val="5"/>
      <w:kern w:val="28"/>
      <w:sz w:val="72"/>
      <w:szCs w:val="52"/>
      <w:lang w:val="de-AT" w:eastAsia="en-US"/>
    </w:rPr>
  </w:style>
  <w:style w:type="paragraph" w:customStyle="1" w:styleId="Kapitelberschrift">
    <w:name w:val="Kapitelüberschrift"/>
    <w:basedOn w:val="Titel"/>
    <w:next w:val="berschrift1"/>
    <w:qFormat/>
    <w:rsid w:val="00D42EAE"/>
    <w:pPr>
      <w:numPr>
        <w:numId w:val="34"/>
      </w:numPr>
      <w:tabs>
        <w:tab w:val="left" w:pos="482"/>
        <w:tab w:val="left" w:pos="709"/>
        <w:tab w:val="left" w:pos="936"/>
        <w:tab w:val="left" w:pos="1134"/>
      </w:tabs>
      <w:spacing w:line="880" w:lineRule="exact"/>
    </w:pPr>
  </w:style>
  <w:style w:type="numbering" w:customStyle="1" w:styleId="ListeZusammenfassung">
    <w:name w:val="Liste Zusammenfassung"/>
    <w:uiPriority w:val="99"/>
    <w:rsid w:val="00D42EAE"/>
    <w:pPr>
      <w:numPr>
        <w:numId w:val="27"/>
      </w:numPr>
    </w:pPr>
  </w:style>
  <w:style w:type="paragraph" w:customStyle="1" w:styleId="MittlereSchattierung1-Akzent11">
    <w:name w:val="Mittlere Schattierung 1 - Akzent 11"/>
    <w:uiPriority w:val="1"/>
    <w:semiHidden/>
    <w:qFormat/>
    <w:rsid w:val="00D42EAE"/>
    <w:rPr>
      <w:rFonts w:ascii="Rotis Sans Serif Pro" w:eastAsia="Rotis Sans Serif Pro" w:hAnsi="Rotis Sans Serif Pro"/>
      <w:color w:val="262626"/>
      <w:sz w:val="18"/>
      <w:szCs w:val="18"/>
      <w:lang w:eastAsia="en-US"/>
    </w:rPr>
  </w:style>
  <w:style w:type="paragraph" w:customStyle="1" w:styleId="RahmenStandard">
    <w:name w:val="Rahmen Standard"/>
    <w:basedOn w:val="RahmenAufzhlung"/>
    <w:qFormat/>
    <w:rsid w:val="00D42EAE"/>
    <w:pPr>
      <w:numPr>
        <w:numId w:val="0"/>
      </w:numPr>
      <w:ind w:left="255"/>
    </w:pPr>
  </w:style>
  <w:style w:type="paragraph" w:customStyle="1" w:styleId="StandardWei">
    <w:name w:val="Standard Weiß"/>
    <w:basedOn w:val="Standard"/>
    <w:qFormat/>
    <w:rsid w:val="00D42EAE"/>
    <w:rPr>
      <w:lang w:val="en-US"/>
    </w:rPr>
  </w:style>
  <w:style w:type="paragraph" w:customStyle="1" w:styleId="a">
    <w:uiPriority w:val="59"/>
    <w:rsid w:val="00D42EAE"/>
    <w:rPr>
      <w:rFonts w:ascii="Rotis Sans Serif Pro" w:eastAsia="Rotis Sans Serif Pro" w:hAnsi="Rotis Sans Serif Pro"/>
      <w:lang w:val="de-AT" w:eastAsia="de-AT"/>
    </w:rPr>
  </w:style>
  <w:style w:type="paragraph" w:customStyle="1" w:styleId="berschrift1Einfach">
    <w:name w:val="Überschrift 1 – Einfach"/>
    <w:basedOn w:val="berschrift1"/>
    <w:next w:val="Standard"/>
    <w:qFormat/>
    <w:rsid w:val="00D42EAE"/>
    <w:pPr>
      <w:numPr>
        <w:numId w:val="0"/>
      </w:numPr>
      <w:spacing w:before="0"/>
    </w:pPr>
  </w:style>
  <w:style w:type="paragraph" w:styleId="Untertitel">
    <w:name w:val="Subtitle"/>
    <w:basedOn w:val="Standard"/>
    <w:next w:val="Standard"/>
    <w:link w:val="UntertitelZchn"/>
    <w:uiPriority w:val="11"/>
    <w:qFormat/>
    <w:rsid w:val="00D42EAE"/>
    <w:pPr>
      <w:numPr>
        <w:ilvl w:val="1"/>
      </w:numPr>
      <w:spacing w:line="240" w:lineRule="auto"/>
    </w:pPr>
    <w:rPr>
      <w:rFonts w:eastAsia="MS Mincho"/>
      <w:iCs/>
      <w:sz w:val="32"/>
      <w:szCs w:val="24"/>
    </w:rPr>
  </w:style>
  <w:style w:type="character" w:customStyle="1" w:styleId="UntertitelZchn">
    <w:name w:val="Untertitel Zchn"/>
    <w:basedOn w:val="Absatz-Standardschriftart"/>
    <w:link w:val="Untertitel"/>
    <w:uiPriority w:val="11"/>
    <w:rsid w:val="00D42EAE"/>
    <w:rPr>
      <w:rFonts w:ascii="Rotis Sans Serif Pro" w:eastAsia="MS Mincho" w:hAnsi="Rotis Sans Serif Pro"/>
      <w:iCs/>
      <w:color w:val="FFFFFF"/>
      <w:sz w:val="32"/>
      <w:szCs w:val="24"/>
      <w:lang w:val="de-AT" w:eastAsia="en-US"/>
    </w:rPr>
  </w:style>
  <w:style w:type="paragraph" w:styleId="Verzeichnis5">
    <w:name w:val="toc 5"/>
    <w:basedOn w:val="Standard"/>
    <w:next w:val="Standard"/>
    <w:autoRedefine/>
    <w:uiPriority w:val="39"/>
    <w:rsid w:val="00D42EAE"/>
  </w:style>
  <w:style w:type="paragraph" w:customStyle="1" w:styleId="Zwischenberschrift">
    <w:name w:val="Zwischenüberschrift"/>
    <w:basedOn w:val="Standard"/>
    <w:next w:val="Standard"/>
    <w:qFormat/>
    <w:rsid w:val="00D42EAE"/>
    <w:pPr>
      <w:spacing w:before="220"/>
    </w:pPr>
    <w:rPr>
      <w:b/>
    </w:rPr>
  </w:style>
  <w:style w:type="character" w:customStyle="1" w:styleId="FuzeileZchn">
    <w:name w:val="Fußzeile Zchn"/>
    <w:link w:val="Fuzeile"/>
    <w:uiPriority w:val="99"/>
    <w:rsid w:val="00100B73"/>
    <w:rPr>
      <w:rFonts w:ascii="Arial" w:eastAsia="Rotis Sans Serif Pro" w:hAnsi="Arial"/>
      <w:sz w:val="12"/>
      <w:szCs w:val="12"/>
      <w:lang w:val="de-AT" w:eastAsia="en-US"/>
    </w:rPr>
  </w:style>
</w:styles>
</file>

<file path=word/webSettings.xml><?xml version="1.0" encoding="utf-8"?>
<w:webSettings xmlns:r="http://schemas.openxmlformats.org/officeDocument/2006/relationships" xmlns:w="http://schemas.openxmlformats.org/wordprocessingml/2006/main">
  <w:divs>
    <w:div w:id="66997914">
      <w:bodyDiv w:val="1"/>
      <w:marLeft w:val="0"/>
      <w:marRight w:val="0"/>
      <w:marTop w:val="0"/>
      <w:marBottom w:val="0"/>
      <w:divBdr>
        <w:top w:val="none" w:sz="0" w:space="0" w:color="auto"/>
        <w:left w:val="none" w:sz="0" w:space="0" w:color="auto"/>
        <w:bottom w:val="none" w:sz="0" w:space="0" w:color="auto"/>
        <w:right w:val="none" w:sz="0" w:space="0" w:color="auto"/>
      </w:divBdr>
    </w:div>
    <w:div w:id="626199605">
      <w:bodyDiv w:val="1"/>
      <w:marLeft w:val="0"/>
      <w:marRight w:val="0"/>
      <w:marTop w:val="0"/>
      <w:marBottom w:val="0"/>
      <w:divBdr>
        <w:top w:val="none" w:sz="0" w:space="0" w:color="auto"/>
        <w:left w:val="none" w:sz="0" w:space="0" w:color="auto"/>
        <w:bottom w:val="none" w:sz="0" w:space="0" w:color="auto"/>
        <w:right w:val="none" w:sz="0" w:space="0" w:color="auto"/>
      </w:divBdr>
    </w:div>
    <w:div w:id="947812821">
      <w:bodyDiv w:val="1"/>
      <w:marLeft w:val="0"/>
      <w:marRight w:val="0"/>
      <w:marTop w:val="0"/>
      <w:marBottom w:val="0"/>
      <w:divBdr>
        <w:top w:val="none" w:sz="0" w:space="0" w:color="auto"/>
        <w:left w:val="none" w:sz="0" w:space="0" w:color="auto"/>
        <w:bottom w:val="none" w:sz="0" w:space="0" w:color="auto"/>
        <w:right w:val="none" w:sz="0" w:space="0" w:color="auto"/>
      </w:divBdr>
    </w:div>
    <w:div w:id="15743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komklima.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omklima.at" TargetMode="External"/><Relationship Id="rId2" Type="http://schemas.openxmlformats.org/officeDocument/2006/relationships/numbering" Target="numbering.xml"/><Relationship Id="rId16" Type="http://schemas.openxmlformats.org/officeDocument/2006/relationships/hyperlink" Target="http://www.komklima.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NachhaltigWirtschaften.a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BMW10</b:Tag>
    <b:SourceType>Report</b:SourceType>
    <b:Guid>{B93DA1A5-DCFB-477E-9AB8-C19A02DD6B5B}</b:Guid>
    <b:LCID>0</b:LCID>
    <b:Author>
      <b:Author>
        <b:NameList>
          <b:Person>
            <b:Last>BMWF</b:Last>
          </b:Person>
          <b:Person>
            <b:Last>BMVIT</b:Last>
          </b:Person>
          <b:Person>
            <b:Last>BMWFJ</b:Last>
          </b:Person>
        </b:NameList>
      </b:Author>
    </b:Author>
    <b:Title>Österreichischer Forschungs- und Technologiebericht 2010</b:Title>
    <b:Year>2010</b:Year>
    <b:City>Wien</b:City>
    <b:Publisher>Bundesministerium für Wissenschaft und Forschung (BMWF), Bundesministerium für Verkehr, Innovation und Technologie (BMVIT), Bundesministerium für Wirtschaft, Familie und Jugend (BMWFJ)</b:Publisher>
    <b:RefOrder>18</b:RefOrder>
  </b:Source>
  <b:Source>
    <b:Tag>BKA11</b:Tag>
    <b:SourceType>Report</b:SourceType>
    <b:Guid>{C9226972-5036-42B8-9438-3F0F1BF646BB}</b:Guid>
    <b:LCID>0</b:LCID>
    <b:Author>
      <b:Author>
        <b:NameList>
          <b:Person>
            <b:Last>BKA</b:Last>
          </b:Person>
          <b:Person>
            <b:Last>BMF</b:Last>
          </b:Person>
          <b:Person>
            <b:Last>BMUKK</b:Last>
          </b:Person>
          <b:Person>
            <b:Last>BMVIT</b:Last>
          </b:Person>
          <b:Person>
            <b:Last>BMWFJ</b:Last>
          </b:Person>
          <b:Person>
            <b:Last>BMWF</b:Last>
          </b:Person>
        </b:NameList>
      </b:Author>
    </b:Author>
    <b:Title>Der Weg zum Innovation Leader - Strategie der Bundesregierung für Forschung, Technologie und Innovation</b:Title>
    <b:Year>2011</b:Year>
    <b:City>Wien</b:City>
    <b:Publisher>Bundeskanzleramt (BKA), BM für Finanzen (BMF), BM für Unterricht, Kunst und Kultur (BMUKK), BM für Verkehr, Innovation und Technologie (BMVIT), BM für Wirtschaft, Familie und Jugend (BMWFJ), BM für Wissenschaft und Forschung (BMWF)</b:Publisher>
    <b:RefOrder>19</b:RefOrder>
  </b:Source>
  <b:Source>
    <b:Tag>20004</b:Tag>
    <b:SourceType>Patent</b:SourceType>
    <b:Guid>{98FC4E42-314F-4093-9BE9-98A9E52F9F27}</b:Guid>
    <b:LCID>0</b:LCID>
    <b:Author>
      <b:Inventor>
        <b:NameList>
          <b:Person>
            <b:Last>2004/18/EG</b:Last>
          </b:Person>
        </b:NameList>
      </b:Inventor>
    </b:Author>
    <b:Title>Richtlinie 2004/18/EG über die Koordinierung der Verfahren zur Vergabe öffentlicher Bauaufträge, Lieferaufträge und Dienstleistungsaufträge</b:Title>
    <b:Year>2004</b:Year>
    <b:CountryRegion>
		</b:CountryRegion>
    <b:RefOrder>20</b:RefOrder>
  </b:Source>
  <b:Source>
    <b:Tag>20009</b:Tag>
    <b:SourceType>Patent</b:SourceType>
    <b:Guid>{E22E946A-2AC5-44AF-B850-4E4ECF9F592B}</b:Guid>
    <b:LCID>0</b:LCID>
    <b:Author>
      <b:Inventor>
        <b:NameList>
          <b:Person>
            <b:Last>2009/81/EG</b:Last>
          </b:Person>
        </b:NameList>
      </b:Inventor>
    </b:Author>
    <b:Title>Richtlinie 2009/81/EG über die Koordinierung der Verfahren zur Vergabe bestimmter Bau-, Liefer- und Dienstleistungsaufträge in den Bereichen Verteidigung und Sicherheit und zur Änderung der Richtlinien 2004/17/EG und 2004/18/EG</b:Title>
    <b:Year>2009</b:Year>
    <b:CountryRegion>
		</b:CountryRegion>
    <b:RefOrder>21</b:RefOrder>
  </b:Source>
  <b:Source>
    <b:Tag>BMV12</b:Tag>
    <b:SourceType>Report</b:SourceType>
    <b:Guid>{EFE1549C-87BC-4743-8DB4-7911A8AB6F2C}</b:Guid>
    <b:LCID>0</b:LCID>
    <b:Author>
      <b:Editor>
        <b:NameList>
          <b:Person>
            <b:Last>BMVIT</b:Last>
          </b:Person>
          <b:Person>
            <b:Last>BMWFJ</b:Last>
          </b:Person>
        </b:NameList>
      </b:Editor>
      <b:Author>
        <b:NameList>
          <b:Person>
            <b:Last>BMVIT</b:Last>
          </b:Person>
          <b:Person>
            <b:Last>BMWFJ</b:Last>
          </b:Person>
        </b:NameList>
      </b:Author>
    </b:Author>
    <b:Title>Leitkonzept für eine innovationsfördernde öffentliche Beschaffung (IÖB) in Österreich</b:Title>
    <b:Year>2012</b:Year>
    <b:City>Wien</b:City>
    <b:Publisher>Bundesministerium für Verkehr, Innovation und Technologie (BMVIT) &amp; Bundesministerium für Wirtschaft, Familie und Jugend (BMWFJ)</b:Publisher>
    <b:RefOrder>1</b:RefOrder>
  </b:Source>
  <b:Source>
    <b:Tag>KOM07</b:Tag>
    <b:SourceType>Patent</b:SourceType>
    <b:Guid>{18BD3E3B-C015-4771-B550-49BE044834D1}</b:Guid>
    <b:LCID>0</b:LCID>
    <b:Author>
      <b:Inventor>
        <b:NameList>
          <b:Person>
            <b:Last>KOM(2007) 860</b:Last>
          </b:Person>
        </b:NameList>
      </b:Inventor>
    </b:Author>
    <b:Title>Eine Leitmarktinitiative für Europa</b:Title>
    <b:Year>2007</b:Year>
    <b:RefOrder>22</b:RefOrder>
  </b:Source>
  <b:Source>
    <b:Tag>BGB06</b:Tag>
    <b:SourceType>Patent</b:SourceType>
    <b:Guid>{F6C475C8-DC09-4D22-A762-3F987FF7CB52}</b:Guid>
    <b:LCID>0</b:LCID>
    <b:Title>Bundesgesetz über die Vergabe von Aufträgen</b:Title>
    <b:Year>2006</b:Year>
    <b:Author>
      <b:Inventor>
        <b:NameList>
          <b:Person>
            <b:Last>BGBl. I Nr. 17/2006</b:Last>
          </b:Person>
        </b:NameList>
      </b:Inventor>
    </b:Author>
    <b:CountryRegion>
		</b:CountryRegion>
    <b:RefOrder>23</b:RefOrder>
  </b:Source>
  <b:Source>
    <b:Tag>BGB07</b:Tag>
    <b:SourceType>Patent</b:SourceType>
    <b:Guid>{6EF5AB40-8878-4E25-81FB-FEF8FFD11CC3}</b:Guid>
    <b:LCID>0</b:LCID>
    <b:Year>2007</b:Year>
    <b:Title>Bundesgesetz, mit dem das Bundesvergabegesetz 2006 – BVergG 2006 geändert wird</b:Title>
    <b:Author>
      <b:Inventor>
        <b:NameList>
          <b:Person>
            <b:Last>BGBl. I Nr. 86/2007</b:Last>
          </b:Person>
        </b:NameList>
      </b:Inventor>
    </b:Author>
    <b:RefOrder>24</b:RefOrder>
  </b:Source>
  <b:Source>
    <b:Tag>BGB10</b:Tag>
    <b:SourceType>Patent</b:SourceType>
    <b:Guid>{FE5C45B8-2E2F-47E3-829B-284730B3998D}</b:Guid>
    <b:LCID>0</b:LCID>
    <b:Year>2010</b:Year>
    <b:Title>Bundesgesetz, mit dem das Bundesvergabegesetz 2006 geändert wird </b:Title>
    <b:Author>
      <b:Author>
        <b:NameList>
          <b:Person>
            <b:Last>15/2010</b:Last>
            <b:First>BGBl.</b:First>
            <b:Middle>I Nr.</b:Middle>
          </b:Person>
        </b:NameList>
      </b:Author>
      <b:Inventor>
        <b:NameList>
          <b:Person>
            <b:Last>BGBl. I Nr. 15/2010</b:Last>
          </b:Person>
        </b:NameList>
      </b:Inventor>
    </b:Author>
    <b:Reporter>Bundesgesetz, mit dem das Bundesvergabegesetz 2006 geändert wird</b:Reporter>
    <b:CountryRegion>
		</b:CountryRegion>
    <b:RefOrder>25</b:RefOrder>
  </b:Source>
  <b:Source>
    <b:Tag>Bun12</b:Tag>
    <b:SourceType>Patent</b:SourceType>
    <b:Guid>{3BE8551B-4DFF-479D-A98D-61EFB03E108F}</b:Guid>
    <b:LCID>0</b:LCID>
    <b:Year>2012</b:Year>
    <b:Title>Bundesgesetz mit dem ein Bundesgesetz über die Vergabe von Aufträgen im Verteidigungs- und Sicherheitsbereich (Bundesvergabegesetz Verteidigung und Sicherheit 2012 – BVergGVS 2012) erlassen sowie das Bundesvergabegesetz 2006 geändert wird</b:Title>
    <b:Author>
      <b:Inventor>
        <b:NameList>
          <b:Person>
            <b:Last>BGBl. I Nr. 10/2012</b:Last>
          </b:Person>
        </b:NameList>
      </b:Inventor>
    </b:Author>
    <b:RefOrder>26</b:RefOrder>
  </b:Source>
  <b:Source>
    <b:Tag>BGB01</b:Tag>
    <b:SourceType>Patent</b:SourceType>
    <b:Guid>{CCAC1C7A-4044-4CF9-BEE3-1E0D087F8B5C}</b:Guid>
    <b:LCID>0</b:LCID>
    <b:Author>
      <b:Inventor>
        <b:NameList>
          <b:Person>
            <b:Last>BGBl. I Nr. 39/2001</b:Last>
          </b:Person>
        </b:NameList>
      </b:Inventor>
    </b:Author>
    <b:Title>Bundesgesetz über die Errichtung einer Bundesbeschaffung Gesellschaft mit beschränkter Haftung (BB-GmbH-Gesetz)</b:Title>
    <b:Year>2001</b:Year>
    <b:CountryRegion>
		</b:CountryRegion>
    <b:RefOrder>27</b:RefOrder>
  </b:Source>
  <b:Source>
    <b:Tag>BML</b:Tag>
    <b:SourceType>Report</b:SourceType>
    <b:Guid>{CCA051CD-5B94-4CA7-A4E1-FDFF600C21F4}</b:Guid>
    <b:LCID>0</b:LCID>
    <b:Author>
      <b:Author>
        <b:NameList>
          <b:Person>
            <b:Last>BMLFUW</b:Last>
          </b:Person>
        </b:NameList>
      </b:Author>
    </b:Author>
    <b:Title>Österreichischer Aktionsplan zur nachhaltigen öffentlichen Beschaffung</b:Title>
    <b:Year>2010</b:Year>
    <b:Publisher>Bundesministerium für Land- und Forstwirtschaft, Umwelt und Wasserwirtschaft</b:Publisher>
    <b:City>Wien</b:City>
    <b:RefOrder>2</b:RefOrder>
  </b:Source>
  <b:Source>
    <b:Tag>BMW07</b:Tag>
    <b:SourceType>Report</b:SourceType>
    <b:Guid>{D025FE65-6ADB-420B-990E-36DE381FB096}</b:Guid>
    <b:LCID>0</b:LCID>
    <b:Author>
      <b:Author>
        <b:NameList>
          <b:Person>
            <b:Last>BMWA</b:Last>
          </b:Person>
        </b:NameList>
      </b:Author>
    </b:Author>
    <b:Title>procure_inno, Praxisorientierter Leitfaden für ein innovationsförderndes öffentliches Beschaffungs- und Vergabewesen</b:Title>
    <b:Year>2007</b:Year>
    <b:Publisher>Bundesministerium für Wirtschaft und Arbeit (BMWA)</b:Publisher>
    <b:City>Wien</b:City>
    <b:RefOrder>3</b:RefOrder>
  </b:Source>
  <b:Source>
    <b:Tag>Rei</b:Tag>
    <b:SourceType>Report</b:SourceType>
    <b:Guid>{706A17AB-51C3-4493-B013-622569742BD6}</b:Guid>
    <b:LCID>0</b:LCID>
    <b:Author>
      <b:Author>
        <b:NameList>
          <b:Person>
            <b:Last>Madlener</b:Last>
            <b:First>Reinhard</b:First>
          </b:Person>
        </b:NameList>
      </b:Author>
    </b:Author>
    <b:Title>Diffusion innovativer Energietechnologien aus der Sicht der Ökonomie</b:Title>
    <b:Year>2006</b:Year>
    <b:Publisher>Die Volkswirtschaft - Das Magazin für Wirtschaftspolitik</b:Publisher>
    <b:City>Bern</b:City>
    <b:RefOrder>4</b:RefOrder>
  </b:Source>
  <b:Source>
    <b:Tag>Ste07</b:Tag>
    <b:SourceType>Report</b:SourceType>
    <b:Guid>{59B489FA-1AB1-4321-A6F3-9B721B105C77}</b:Guid>
    <b:LCID>0</b:LCID>
    <b:Author>
      <b:Author>
        <b:NameList>
          <b:Person>
            <b:Last>Hammer</b:Last>
            <b:First>Stephan</b:First>
          </b:Person>
          <b:Person>
            <b:Last>Schneider</b:Last>
            <b:First>Christian</b:First>
          </b:Person>
          <b:Person>
            <b:Last>Iten</b:Last>
            <b:First>Rolf</b:First>
          </b:Person>
          <b:Person>
            <b:Last>Walz</b:Last>
            <b:First>Rainer</b:First>
          </b:Person>
        </b:NameList>
      </b:Author>
    </b:Author>
    <b:Title>Auswirkungen von Energieeffizienz-Maßnahmen auf Innovation und Beschäftigung</b:Title>
    <b:Year>2007</b:Year>
    <b:Publisher>INFRAS AG</b:Publisher>
    <b:City>Zürich</b:City>
    <b:RefOrder>5</b:RefOrder>
  </b:Source>
  <b:Source>
    <b:Tag>Chr08</b:Tag>
    <b:SourceType>Report</b:SourceType>
    <b:Guid>{97628D7F-6140-43F9-AB96-ABFAFF8F373E}</b:Guid>
    <b:LCID>0</b:LCID>
    <b:Author>
      <b:Author>
        <b:NameList>
          <b:Person>
            <b:Last>Schmid</b:Last>
            <b:First>Christian</b:First>
          </b:Person>
          <b:Person>
            <b:Last>Madlener</b:Last>
            <b:First>Reinhard</b:First>
          </b:Person>
        </b:NameList>
      </b:Author>
    </b:Author>
    <b:Title>Diffusion der Biogastechnologie in der Schweiz: eine GIS-basierte Multiagenten-Simulation</b:Title>
    <b:Year>2008</b:Year>
    <b:Publisher>Zeitschrift für Energiewirtschaft</b:Publisher>
    <b:City>Wiesbaden</b:City>
    <b:RefOrder>7</b:RefOrder>
  </b:Source>
  <b:Source>
    <b:Tag>PBi12</b:Tag>
    <b:SourceType>Report</b:SourceType>
    <b:Guid>{6F70288F-1F35-4DAB-9F4D-5DA9B0901904}</b:Guid>
    <b:LCID>0</b:LCID>
    <b:Author>
      <b:Author>
        <b:NameList>
          <b:Person>
            <b:Last>Biermayr</b:Last>
            <b:First>P.</b:First>
          </b:Person>
          <b:Person>
            <b:Last>Eberl</b:Last>
            <b:First>M.</b:First>
          </b:Person>
          <b:Person>
            <b:Last>Ehrig</b:Last>
            <b:First>R.</b:First>
          </b:Person>
          <b:Person>
            <b:Last>Fechner</b:Last>
            <b:First>H.</b:First>
          </b:Person>
          <b:Person>
            <b:Last>Kritöfel</b:Last>
            <b:First>C.</b:First>
          </b:Person>
          <b:Person>
            <b:Last>Eder-Neuhauser</b:Last>
            <b:First>P.</b:First>
          </b:Person>
          <b:Person>
            <b:Last>Prüggler</b:Last>
            <b:First>N.</b:First>
          </b:Person>
          <b:Person>
            <b:Last>Sonnleitner</b:Last>
            <b:First>A.</b:First>
          </b:Person>
          <b:Person>
            <b:Last>Strasser</b:Last>
            <b:First>C.</b:First>
          </b:Person>
          <b:Person>
            <b:Last>Weiss</b:Last>
            <b:First>W.</b:First>
          </b:Person>
          <b:Person>
            <b:Last>Wörgetter</b:Last>
            <b:First>M.</b:First>
          </b:Person>
        </b:NameList>
      </b:Author>
    </b:Author>
    <b:Title>Innovative Energietechnologien in Österreich - Marktentwicklung 2011</b:Title>
    <b:Year>2012</b:Year>
    <b:Publisher>Bundesministerium für Verkehr, Innovation und Technologie, Abteilung für Energie- und Umwelttechnologien</b:Publisher>
    <b:City>Wien</b:City>
    <b:RefOrder>8</b:RefOrder>
  </b:Source>
  <b:Source>
    <b:Tag>Mel08</b:Tag>
    <b:SourceType>Report</b:SourceType>
    <b:Guid>{91CE3DC3-1D81-41FF-B9BE-127EA351A99B}</b:Guid>
    <b:LCID>0</b:LCID>
    <b:Author>
      <b:Author>
        <b:NameList>
          <b:Person>
            <b:Last>Baier</b:Last>
            <b:First>Melanie</b:First>
          </b:Person>
        </b:NameList>
      </b:Author>
    </b:Author>
    <b:Title>Die Diffusion von Innovationen im Markt managen: Fallstudie zur Nutzung von Grid-Technologien für betriebliche Informationssysteme (BIS)</b:Title>
    <b:Year>2008</b:Year>
    <b:Publisher>Multikonferenz Wirtschaftsinformatik</b:Publisher>
    <b:City>München</b:City>
    <b:RefOrder>9</b:RefOrder>
  </b:Source>
  <b:Source>
    <b:Tag>And08</b:Tag>
    <b:SourceType>Report</b:SourceType>
    <b:Guid>{1A95A543-01BA-4126-9D46-A333B0451310}</b:Guid>
    <b:LCID>0</b:LCID>
    <b:Author>
      <b:Author>
        <b:NameList>
          <b:Person>
            <b:Last>Coogan</b:Last>
            <b:First>Andrew</b:First>
          </b:Person>
          <b:Person>
            <b:Last>Earhart</b:Last>
            <b:First>Robert</b:First>
          </b:Person>
          <b:Person>
            <b:Last>Eggl</b:Last>
            <b:First>Birgit</b:First>
          </b:Person>
          <b:Person>
            <b:Last>Handke</b:Last>
            <b:First>Volker</b:First>
          </b:Person>
          <b:Person>
            <b:Last>Kamburow</b:Last>
            <b:First>Christian</b:First>
          </b:Person>
          <b:Person>
            <b:Last>Krauth</b:Last>
            <b:First>Volker</b:First>
          </b:Person>
          <b:Person>
            <b:Last>Marshall</b:Last>
            <b:First>Aileen</b:First>
          </b:Person>
          <b:Person>
            <b:Last>Ermen</b:Last>
            <b:First>Raymond</b:First>
            <b:Middle>van</b:Middle>
          </b:Person>
        </b:NameList>
      </b:Author>
    </b:Author>
    <b:Title>Comparison and Assessment of Funding Schemes for the Development of New Activities and Investments in Environmental Technologies</b:Title>
    <b:Year>2008</b:Year>
    <b:Publisher>Final Report</b:Publisher>
    <b:RefOrder>28</b:RefOrder>
  </b:Source>
  <b:Source>
    <b:Tag>Fre08</b:Tag>
    <b:SourceType>Report</b:SourceType>
    <b:Guid>{F7C27978-7093-415D-8CD1-B557290902FC}</b:Guid>
    <b:LCID>0</b:LCID>
    <b:Author>
      <b:Author>
        <b:NameList>
          <b:Person>
            <b:Last>Wellington</b:Last>
            <b:First>Fred</b:First>
          </b:Person>
          <b:Person>
            <b:Last>Bradley</b:Last>
            <b:First>Rob</b:First>
          </b:Person>
          <b:Person>
            <b:Last>Childs</b:Last>
            <b:First>Britt</b:First>
          </b:Person>
          <b:Person>
            <b:Last>Rigdon</b:Last>
            <b:First>Clay</b:First>
          </b:Person>
          <b:Person>
            <b:Last>Pershing</b:Last>
            <b:First>Jonathan</b:First>
          </b:Person>
        </b:NameList>
      </b:Author>
    </b:Author>
    <b:Title>Scaling Up: Global Technology Deployment to Stabilize Emissions</b:Title>
    <b:Year>2008</b:Year>
    <b:Publisher>World Resources Institute</b:Publisher>
    <b:City>Washington</b:City>
    <b:RefOrder>29</b:RefOrder>
  </b:Source>
  <b:Source>
    <b:Tag>Rei10</b:Tag>
    <b:SourceType>Report</b:SourceType>
    <b:Guid>{2044388A-5809-450B-8B36-6EA47389C8A1}</b:Guid>
    <b:LCID>0</b:LCID>
    <b:Author>
      <b:Author>
        <b:NameList>
          <b:Person>
            <b:Last>Madlener</b:Last>
            <b:First>Reinhard</b:First>
          </b:Person>
        </b:NameList>
      </b:Author>
    </b:Author>
    <b:Title>Die neuen Energietechnologien erfordern eine Ökonomie der Technologiediffusion</b:Title>
    <b:Year>2010</b:Year>
    <b:Publisher>Konferenzvortrag bei Erneuerbare Energie Kärnten</b:Publisher>
    <b:City>Velden</b:City>
    <b:RefOrder>10</b:RefOrder>
  </b:Source>
  <b:Source>
    <b:Tag>Jut10</b:Tag>
    <b:SourceType>Report</b:SourceType>
    <b:Guid>{4E9F5CB7-76AF-4394-BF90-265872FE9851}</b:Guid>
    <b:LCID>0</b:LCID>
    <b:Author>
      <b:Author>
        <b:NameList>
          <b:Person>
            <b:Last>Knopf</b:Last>
            <b:First>Jutta</b:First>
          </b:Person>
          <b:Person>
            <b:Last>Kahlenborn</b:Last>
            <b:First>Walter</b:First>
          </b:Person>
          <b:Person>
            <b:Last>Weiß</b:Last>
            <b:First>Daniel</b:First>
          </b:Person>
          <b:Person>
            <b:Last>Pechan</b:Last>
            <b:First>Anna</b:First>
          </b:Person>
          <b:Person>
            <b:Last>Khuchua</b:Last>
            <b:First>Nina</b:First>
          </b:Person>
          <b:Person>
            <b:Last>Jacob</b:Last>
            <b:First>Klaus</b:First>
          </b:Person>
          <b:Person>
            <b:Last>Bär</b:Last>
            <b:First>Holger</b:First>
          </b:Person>
          <b:Person>
            <b:Last>Grubbe</b:Last>
            <b:First>Magnus</b:First>
          </b:Person>
          <b:Person>
            <b:Last>Münch</b:Last>
            <b:First>Lisa</b:First>
          </b:Person>
        </b:NameList>
      </b:Author>
    </b:Author>
    <b:Title>Innovationspotentiale der umweltfreundlichen öffentlichen Beschaffung</b:Title>
    <b:Year>2010</b:Year>
    <b:Publisher>Adelphi Research &amp; Forschungsstelle für Umweltpolitik</b:Publisher>
    <b:City>Berlin</b:City>
    <b:RefOrder>6</b:RefOrder>
  </b:Source>
  <b:Source>
    <b:Tag>And09</b:Tag>
    <b:SourceType>Report</b:SourceType>
    <b:Guid>{360A0581-9AFD-4C6B-8667-4E8038DA4D8B}</b:Guid>
    <b:LCID>0</b:LCID>
    <b:Author>
      <b:Author>
        <b:NameList>
          <b:Person>
            <b:Last>Zamostny</b:Last>
            <b:First>Andreas</b:First>
          </b:Person>
          <b:Person>
            <b:Last>Ummenhofer</b:Last>
            <b:First>Julia</b:First>
          </b:Person>
          <b:Person>
            <b:Last>Mordhorst</b:Last>
            <b:First>Anne</b:First>
          </b:Person>
          <b:Person>
            <b:Last>Ulrich</b:Last>
            <b:First>Anne</b:First>
          </b:Person>
        </b:NameList>
      </b:Author>
    </b:Author>
    <b:Title>Nachhaltige öffentliche Beschaffung in den EU-Mitgliedsstaaten einschließlich Deutschlands</b:Title>
    <b:Year>2009</b:Year>
    <b:Publisher>Schlange &amp; Co. GmbH im Auftrag des Bundesministeriums für Arbeit und Soziales</b:Publisher>
    <b:City>Hamburg</b:City>
    <b:RefOrder>12</b:RefOrder>
  </b:Source>
  <b:Source>
    <b:Tag>ZIT12</b:Tag>
    <b:SourceType>Report</b:SourceType>
    <b:Guid>{A8A1C5D9-9213-4D12-8961-32BC07236A14}</b:Guid>
    <b:LCID>0</b:LCID>
    <b:Author>
      <b:Author>
        <b:NameList>
          <b:Person>
            <b:Last>ZIT</b:Last>
          </b:Person>
        </b:NameList>
      </b:Author>
    </b:Author>
    <b:Title>WienWin 2012</b:Title>
    <b:Year>2012</b:Year>
    <b:Publisher>Die Technologieagentur der Stadt Wien</b:Publisher>
    <b:City>Wien</b:City>
    <b:RefOrder>30</b:RefOrder>
  </b:Source>
  <b:Source>
    <b:Tag>Rob12</b:Tag>
    <b:SourceType>Report</b:SourceType>
    <b:Guid>{98157CA8-8ADC-41B7-A439-B018945AA0C8}</b:Guid>
    <b:LCID>0</b:LCID>
    <b:Author>
      <b:Author>
        <b:NameList>
          <b:Person>
            <b:Last>Freund</b:Last>
            <b:First>Robert</b:First>
          </b:Person>
          <b:Person>
            <b:Last>Cerveny</b:Last>
            <b:First>Michael</b:First>
          </b:Person>
        </b:NameList>
      </b:Author>
    </b:Author>
    <b:Title>Bausteine für ein verbessertes Energie-Innovations-Monitoring</b:Title>
    <b:Year>2012</b:Year>
    <b:Publisher>ÖGUT - Österreichische Gesellschaft für Umwelt und Technik</b:Publisher>
    <b:City>Wien</b:City>
    <b:RefOrder>11</b:RefOrder>
  </b:Source>
  <b:Source>
    <b:Tag>Häk12</b:Tag>
    <b:SourceType>Report</b:SourceType>
    <b:Guid>{D4C5C4A4-1831-4AD8-BFBD-BFE241CED7E6}</b:Guid>
    <b:LCID>0</b:LCID>
    <b:Author>
      <b:Author>
        <b:NameList>
          <b:Person>
            <b:Last>Häkkinen</b:Last>
            <b:First>T.</b:First>
          </b:Person>
          <b:Person>
            <b:Last>Antuna</b:Last>
            <b:First>C.</b:First>
          </b:Person>
          <b:Person>
            <b:Last>Mäkeläinen</b:Last>
            <b:First>T.</b:First>
          </b:Person>
          <b:Person>
            <b:Last>Lützkendorf</b:Last>
            <b:First>T.</b:First>
          </b:Person>
          <b:Person>
            <b:Last>Balouktsi</b:Last>
            <b:First>M.</b:First>
          </b:Person>
          <b:Person>
            <b:Last>Immendörfer</b:Last>
            <b:First>A.</b:First>
          </b:Person>
          <b:Person>
            <b:Last>Nibel</b:Last>
            <b:First>S.</b:First>
          </b:Person>
          <b:Person>
            <b:Last>Bosdevigie</b:Last>
            <b:First>B.</b:First>
          </b:Person>
          <b:Person>
            <b:Last>Lebert</b:Last>
            <b:First>A.</b:First>
          </b:Person>
          <b:Person>
            <b:Last>Fies</b:Last>
            <b:First>B.</b:First>
          </b:Person>
          <b:Person>
            <b:Last>Inarra</b:Last>
            <b:First>P.</b:First>
            <b:Middle>H.</b:Middle>
          </b:Person>
          <b:Person>
            <b:Last>Lupísek</b:Last>
            <b:First>A.</b:First>
          </b:Person>
          <b:Person>
            <b:Last>Hajek</b:Last>
            <b:First>P.</b:First>
          </b:Person>
          <b:Person>
            <b:Last>Supper</b:Last>
            <b:First>S.</b:First>
          </b:Person>
          <b:Person>
            <b:Last>Alsema</b:Last>
            <b:First>E.</b:First>
          </b:Person>
          <b:Person>
            <b:Last>Delem</b:Last>
            <b:First>L.</b:First>
          </b:Person>
          <b:Person>
            <b:Last>Dessel</b:Last>
            <b:First>J.</b:First>
            <b:Middle>van</b:Middle>
          </b:Person>
        </b:NameList>
      </b:Author>
    </b:Author>
    <b:Title>Sustainability and performance assessment and benchmarking of buildings</b:Title>
    <b:Year>2012</b:Year>
    <b:City>Espoo</b:City>
    <b:Publisher>VVT Technical Research Centre of Finland</b:Publisher>
    <b:RefOrder>13</b:RefOrder>
  </b:Source>
  <b:Source>
    <b:Tag>Tho11</b:Tag>
    <b:SourceType>Report</b:SourceType>
    <b:Guid>{AAB9BAD3-E3D8-4AE1-8288-1AE4F1284D69}</b:Guid>
    <b:LCID>0</b:LCID>
    <b:Author>
      <b:Author>
        <b:NameList>
          <b:Person>
            <b:Last>Lützkendorf</b:Last>
            <b:First>Thomas</b:First>
          </b:Person>
          <b:Person>
            <b:Last>Immendörfer</b:Last>
            <b:First>Andrea</b:First>
          </b:Person>
        </b:NameList>
      </b:Author>
    </b:Author>
    <b:Title>Logical structure for sustainability assessment systems</b:Title>
    <b:Year>2011</b:Year>
    <b:Publisher>Project-Newsletter "SuPerBuildings"</b:Publisher>
    <b:City>Espoo</b:City>
    <b:RefOrder>14</b:RefOrder>
  </b:Source>
  <b:Source>
    <b:Tag>Sus10</b:Tag>
    <b:SourceType>Report</b:SourceType>
    <b:Guid>{0EBD5FFB-A89D-4404-8F9A-C4DCA31E8789}</b:Guid>
    <b:LCID>0</b:LCID>
    <b:Author>
      <b:Author>
        <b:NameList>
          <b:Person>
            <b:Last>Supper</b:Last>
            <b:First>Susanne</b:First>
          </b:Person>
          <b:Person>
            <b:Last>Schöberl</b:Last>
            <b:First>Helmut</b:First>
          </b:Person>
          <b:Person>
            <b:Last>Hanic</b:Last>
            <b:First>Radoslav</b:First>
          </b:Person>
        </b:NameList>
      </b:Author>
    </b:Author>
    <b:Title>Kosten und Nutzen energieeffizienter und ökologischer Gebäude</b:Title>
    <b:Year>2010</b:Year>
    <b:Institution>ÖGUT - Österreichische Gesellschaft für Umwelt und Technik</b:Institution>
    <b:Publisher>Bundesministerium für Verkehr, Innovation und Technologie - Abteilung für Energie- und Umwelttechnologien</b:Publisher>
    <b:City>Wien</b:City>
    <b:RefOrder>15</b:RefOrder>
  </b:Source>
  <b:Source>
    <b:Tag>12511</b:Tag>
    <b:SourceType>Patent</b:SourceType>
    <b:Guid>{D18195EC-217E-4C90-A7D5-8CB58878894C}</b:Guid>
    <b:LCID>0</b:LCID>
    <b:Author>
      <b:Inventor>
        <b:NameList>
          <b:Person>
            <b:Last>1251/2011</b:Last>
          </b:Person>
        </b:NameList>
      </b:Inventor>
    </b:Author>
    <b:Title>Verordnung (EU) Nr. 1251/2011 der Kommission vom 30. November 2011 zur Änderung der Richtlinien 2004/17/EG, 2004/18/EG und 2009/81/EG des Europäischen Parlaments und des Rates im Hinblick auf die Schwellenwerte für Auftragsvergabeverfahren</b:Title>
    <b:Year>2011</b:Year>
    <b:RefOrder>31</b:RefOrder>
  </b:Source>
  <b:Source>
    <b:Tag>Eur04</b:Tag>
    <b:SourceType>Patent</b:SourceType>
    <b:Guid>{70C5D26B-8350-46D3-84BA-EA59278F4FEA}</b:Guid>
    <b:LCID>0</b:LCID>
    <b:Author>
      <b:Author>
        <b:NameList>
          <b:Person>
            <b:Last>Rat</b:Last>
            <b:First>Europäisches</b:First>
            <b:Middle>Parlament und</b:Middle>
          </b:Person>
        </b:NameList>
      </b:Author>
      <b:Inventor>
        <b:NameList>
          <b:Person>
            <b:Last>2004/17/EG</b:Last>
          </b:Person>
        </b:NameList>
      </b:Inventor>
    </b:Author>
    <b:Title>Richtlinie 2004/17/EG zur Koordinierung der Zuschlagserteilung durch Auftraggeber im Bereich der Wasser-, Energie- und Verkehrsversorgung sowie der Postdienste</b:Title>
    <b:Year>2004</b:Year>
    <b:City>Straßburg</b:City>
    <b:RefOrder>32</b:RefOrder>
  </b:Source>
  <b:Source>
    <b:Tag>Fuc13</b:Tag>
    <b:SourceType>Report</b:SourceType>
    <b:Guid>{6BDD9806-8F68-4668-87C9-63C632CC3D1E}</b:Guid>
    <b:LCID>0</b:LCID>
    <b:Author>
      <b:Author>
        <b:NameList>
          <b:Person>
            <b:Last>Fuchs</b:Last>
            <b:First>Matthias</b:First>
          </b:Person>
          <b:Person>
            <b:Last>Hartmann</b:Last>
            <b:First>Franziska</b:First>
          </b:Person>
          <b:Person>
            <b:Last>Henrich</b:Last>
            <b:First>Johanna</b:First>
          </b:Person>
          <b:Person>
            <b:Last>Wagner</b:Last>
            <b:First>Christian</b:First>
          </b:Person>
          <b:Person>
            <b:Last>Zeumer</b:Last>
            <b:First>Martin</b:First>
          </b:Person>
        </b:NameList>
      </b:Author>
    </b:Author>
    <b:Title>Systematik für Nachhaltigkeitsanforderungen in Planungswettbewerben</b:Title>
    <b:Year>2013</b:Year>
    <b:Publisher>Bundesministerium für Verkehr, Bau und Stadtentwicklung (BMVBS)</b:Publisher>
    <b:City>Berlin</b:City>
    <b:RefOrder>16</b:RefOrder>
  </b:Source>
  <b:Source>
    <b:Tag>Sta10</b:Tag>
    <b:SourceType>Report</b:SourceType>
    <b:Guid>{55129407-C6F9-47A6-BDF1-7ED0F6463D27}</b:Guid>
    <b:LCID>0</b:LCID>
    <b:Author>
      <b:Author>
        <b:NameList>
          <b:Person>
            <b:Last>Staller</b:Last>
            <b:First>H.</b:First>
          </b:Person>
          <b:Person>
            <b:Last>Tritthart</b:Last>
            <b:First>W.</b:First>
          </b:Person>
          <b:Person>
            <b:Last>Gratzl-Michlmair</b:Last>
            <b:First>M.</b:First>
          </b:Person>
          <b:Person>
            <b:Last>Mach</b:Last>
            <b:First>T.</b:First>
          </b:Person>
          <b:Person>
            <b:Last>Treberspurg</b:Last>
            <b:First>M.</b:First>
          </b:Person>
          <b:Person>
            <b:Last>Djalili</b:Last>
            <b:First>M.</b:First>
          </b:Person>
          <b:Person>
            <b:Last>Smutny</b:Last>
            <b:First>R.</b:First>
          </b:Person>
        </b:NameList>
      </b:Author>
    </b:Author>
    <b:Title>Leitfaden - Integration energierelevanter Aspekte in Architekturwettbewerben</b:Title>
    <b:Year>2010</b:Year>
    <b:Publisher>Klima- und Energiefonds</b:Publisher>
    <b:City>Wien</b:City>
    <b:RefOrder>17</b:RefOrder>
  </b:Source>
</b:Sources>
</file>

<file path=customXml/itemProps1.xml><?xml version="1.0" encoding="utf-8"?>
<ds:datastoreItem xmlns:ds="http://schemas.openxmlformats.org/officeDocument/2006/customXml" ds:itemID="{C1D3B106-9126-415A-B539-BDCCE238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1793</Words>
  <Characters>11298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1</vt:lpstr>
    </vt:vector>
  </TitlesOfParts>
  <Company>TU Wien - Studentenversion</Company>
  <LinksUpToDate>false</LinksUpToDate>
  <CharactersWithSpaces>13065</CharactersWithSpaces>
  <SharedDoc>false</SharedDoc>
  <HLinks>
    <vt:vector size="60" baseType="variant">
      <vt:variant>
        <vt:i4>1245243</vt:i4>
      </vt:variant>
      <vt:variant>
        <vt:i4>68</vt:i4>
      </vt:variant>
      <vt:variant>
        <vt:i4>0</vt:i4>
      </vt:variant>
      <vt:variant>
        <vt:i4>5</vt:i4>
      </vt:variant>
      <vt:variant>
        <vt:lpwstr/>
      </vt:variant>
      <vt:variant>
        <vt:lpwstr>_Toc229212168</vt:lpwstr>
      </vt:variant>
      <vt:variant>
        <vt:i4>1048635</vt:i4>
      </vt:variant>
      <vt:variant>
        <vt:i4>59</vt:i4>
      </vt:variant>
      <vt:variant>
        <vt:i4>0</vt:i4>
      </vt:variant>
      <vt:variant>
        <vt:i4>5</vt:i4>
      </vt:variant>
      <vt:variant>
        <vt:lpwstr/>
      </vt:variant>
      <vt:variant>
        <vt:lpwstr>_Toc229212155</vt:lpwstr>
      </vt:variant>
      <vt:variant>
        <vt:i4>1507390</vt:i4>
      </vt:variant>
      <vt:variant>
        <vt:i4>44</vt:i4>
      </vt:variant>
      <vt:variant>
        <vt:i4>0</vt:i4>
      </vt:variant>
      <vt:variant>
        <vt:i4>5</vt:i4>
      </vt:variant>
      <vt:variant>
        <vt:lpwstr/>
      </vt:variant>
      <vt:variant>
        <vt:lpwstr>_Toc229212424</vt:lpwstr>
      </vt:variant>
      <vt:variant>
        <vt:i4>1507390</vt:i4>
      </vt:variant>
      <vt:variant>
        <vt:i4>38</vt:i4>
      </vt:variant>
      <vt:variant>
        <vt:i4>0</vt:i4>
      </vt:variant>
      <vt:variant>
        <vt:i4>5</vt:i4>
      </vt:variant>
      <vt:variant>
        <vt:lpwstr/>
      </vt:variant>
      <vt:variant>
        <vt:lpwstr>_Toc229212423</vt:lpwstr>
      </vt:variant>
      <vt:variant>
        <vt:i4>1507390</vt:i4>
      </vt:variant>
      <vt:variant>
        <vt:i4>32</vt:i4>
      </vt:variant>
      <vt:variant>
        <vt:i4>0</vt:i4>
      </vt:variant>
      <vt:variant>
        <vt:i4>5</vt:i4>
      </vt:variant>
      <vt:variant>
        <vt:lpwstr/>
      </vt:variant>
      <vt:variant>
        <vt:lpwstr>_Toc229212422</vt:lpwstr>
      </vt:variant>
      <vt:variant>
        <vt:i4>1507390</vt:i4>
      </vt:variant>
      <vt:variant>
        <vt:i4>26</vt:i4>
      </vt:variant>
      <vt:variant>
        <vt:i4>0</vt:i4>
      </vt:variant>
      <vt:variant>
        <vt:i4>5</vt:i4>
      </vt:variant>
      <vt:variant>
        <vt:lpwstr/>
      </vt:variant>
      <vt:variant>
        <vt:lpwstr>_Toc229212421</vt:lpwstr>
      </vt:variant>
      <vt:variant>
        <vt:i4>1507390</vt:i4>
      </vt:variant>
      <vt:variant>
        <vt:i4>20</vt:i4>
      </vt:variant>
      <vt:variant>
        <vt:i4>0</vt:i4>
      </vt:variant>
      <vt:variant>
        <vt:i4>5</vt:i4>
      </vt:variant>
      <vt:variant>
        <vt:lpwstr/>
      </vt:variant>
      <vt:variant>
        <vt:lpwstr>_Toc229212420</vt:lpwstr>
      </vt:variant>
      <vt:variant>
        <vt:i4>1310782</vt:i4>
      </vt:variant>
      <vt:variant>
        <vt:i4>14</vt:i4>
      </vt:variant>
      <vt:variant>
        <vt:i4>0</vt:i4>
      </vt:variant>
      <vt:variant>
        <vt:i4>5</vt:i4>
      </vt:variant>
      <vt:variant>
        <vt:lpwstr/>
      </vt:variant>
      <vt:variant>
        <vt:lpwstr>_Toc229212419</vt:lpwstr>
      </vt:variant>
      <vt:variant>
        <vt:i4>1310782</vt:i4>
      </vt:variant>
      <vt:variant>
        <vt:i4>8</vt:i4>
      </vt:variant>
      <vt:variant>
        <vt:i4>0</vt:i4>
      </vt:variant>
      <vt:variant>
        <vt:i4>5</vt:i4>
      </vt:variant>
      <vt:variant>
        <vt:lpwstr/>
      </vt:variant>
      <vt:variant>
        <vt:lpwstr>_Toc229212418</vt:lpwstr>
      </vt:variant>
      <vt:variant>
        <vt:i4>1310782</vt:i4>
      </vt:variant>
      <vt:variant>
        <vt:i4>2</vt:i4>
      </vt:variant>
      <vt:variant>
        <vt:i4>0</vt:i4>
      </vt:variant>
      <vt:variant>
        <vt:i4>5</vt:i4>
      </vt:variant>
      <vt:variant>
        <vt:lpwstr/>
      </vt:variant>
      <vt:variant>
        <vt:lpwstr>_Toc229212417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Thomas Steffl</dc:creator>
  <cp:lastModifiedBy>Thomas Steffl</cp:lastModifiedBy>
  <cp:revision>6</cp:revision>
  <cp:lastPrinted>2013-10-11T12:08:00Z</cp:lastPrinted>
  <dcterms:created xsi:type="dcterms:W3CDTF">2014-05-03T14:54:00Z</dcterms:created>
  <dcterms:modified xsi:type="dcterms:W3CDTF">2014-07-04T13:13:00Z</dcterms:modified>
</cp:coreProperties>
</file>